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3EC" w:rsidRPr="00B906C4" w:rsidRDefault="00221E9C">
      <w:pPr>
        <w:rPr>
          <w:b/>
          <w:u w:val="single"/>
        </w:rPr>
      </w:pPr>
      <w:r w:rsidRPr="00B906C4">
        <w:rPr>
          <w:b/>
          <w:u w:val="single"/>
        </w:rPr>
        <w:t>Question 1</w:t>
      </w:r>
    </w:p>
    <w:p w:rsidR="00221E9C" w:rsidRPr="00221E9C" w:rsidRDefault="00221E9C">
      <w:pPr>
        <w:rPr>
          <w:b/>
          <w:u w:val="single"/>
        </w:rPr>
      </w:pPr>
      <w:r w:rsidRPr="00221E9C">
        <w:rPr>
          <w:b/>
          <w:u w:val="single"/>
        </w:rPr>
        <w:t>Part A</w:t>
      </w:r>
    </w:p>
    <w:tbl>
      <w:tblPr>
        <w:tblW w:w="0" w:type="auto"/>
        <w:tblInd w:w="91" w:type="dxa"/>
        <w:tblLook w:val="04A0"/>
      </w:tblPr>
      <w:tblGrid>
        <w:gridCol w:w="3397"/>
        <w:gridCol w:w="1139"/>
        <w:gridCol w:w="1160"/>
      </w:tblGrid>
      <w:tr w:rsidR="00221E9C" w:rsidRPr="00221E9C" w:rsidTr="00221E9C">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 xml:space="preserve">Gingerbread Ltd Statement of </w:t>
            </w:r>
          </w:p>
        </w:tc>
        <w:tc>
          <w:tcPr>
            <w:tcW w:w="0" w:type="auto"/>
            <w:tcBorders>
              <w:top w:val="single" w:sz="4" w:space="0" w:color="auto"/>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single" w:sz="4" w:space="0" w:color="auto"/>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 xml:space="preserve">Cash Flow Statement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jc w:val="right"/>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31-Mar-21</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b/>
                <w:bCs/>
                <w:color w:val="111111"/>
                <w:sz w:val="20"/>
                <w:szCs w:val="20"/>
              </w:rPr>
            </w:pPr>
            <w:r w:rsidRPr="00221E9C">
              <w:rPr>
                <w:rFonts w:ascii="Calibri" w:eastAsia="Times New Roman" w:hAnsi="Calibri" w:cs="Calibri"/>
                <w:b/>
                <w:bCs/>
                <w:color w:val="111111"/>
                <w:sz w:val="20"/>
                <w:szCs w:val="20"/>
              </w:rPr>
              <w:t xml:space="preserve">Cash flow </w:t>
            </w:r>
            <w:r w:rsidR="00A047E9">
              <w:rPr>
                <w:rFonts w:ascii="Calibri" w:eastAsia="Times New Roman" w:hAnsi="Calibri" w:cs="Calibri"/>
                <w:b/>
                <w:bCs/>
                <w:color w:val="111111"/>
                <w:sz w:val="20"/>
                <w:szCs w:val="20"/>
              </w:rPr>
              <w:t>(O</w:t>
            </w:r>
            <w:r w:rsidRPr="00221E9C">
              <w:rPr>
                <w:rFonts w:ascii="Calibri" w:eastAsia="Times New Roman" w:hAnsi="Calibri" w:cs="Calibri"/>
                <w:b/>
                <w:bCs/>
                <w:color w:val="111111"/>
                <w:sz w:val="20"/>
                <w:szCs w:val="20"/>
              </w:rPr>
              <w:t>perating activities</w:t>
            </w:r>
            <w:r w:rsidR="00A047E9">
              <w:rPr>
                <w:rFonts w:ascii="Calibri" w:eastAsia="Times New Roman" w:hAnsi="Calibri" w:cs="Calibri"/>
                <w:b/>
                <w:bCs/>
                <w:color w:val="111111"/>
                <w:sz w:val="20"/>
                <w:szCs w:val="20"/>
              </w:rPr>
              <w:t>)</w:t>
            </w:r>
            <w:r w:rsidRPr="00221E9C">
              <w:rPr>
                <w:rFonts w:ascii="Calibri" w:eastAsia="Times New Roman" w:hAnsi="Calibri" w:cs="Calibri"/>
                <w:b/>
                <w:bCs/>
                <w:color w:val="111111"/>
                <w:sz w:val="20"/>
                <w:szCs w:val="20"/>
              </w:rPr>
              <w:t>:</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Net Income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1,550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Add back Depreciation</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1,000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xml:space="preserve">Sale of Equipment </w:t>
            </w:r>
            <w:r w:rsidR="00A047E9">
              <w:rPr>
                <w:rFonts w:ascii="Calibri" w:eastAsia="Times New Roman" w:hAnsi="Calibri" w:cs="Calibri"/>
                <w:color w:val="111111"/>
                <w:sz w:val="20"/>
                <w:szCs w:val="20"/>
              </w:rPr>
              <w:t>– Gain</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(100)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A047E9" w:rsidP="00221E9C">
            <w:pPr>
              <w:spacing w:after="0" w:line="240" w:lineRule="auto"/>
              <w:rPr>
                <w:rFonts w:ascii="Calibri" w:eastAsia="Times New Roman" w:hAnsi="Calibri" w:cs="Calibri"/>
                <w:color w:val="111111"/>
                <w:sz w:val="20"/>
                <w:szCs w:val="20"/>
              </w:rPr>
            </w:pPr>
            <w:r>
              <w:rPr>
                <w:rFonts w:ascii="Calibri" w:eastAsia="Times New Roman" w:hAnsi="Calibri" w:cs="Calibri"/>
                <w:color w:val="111111"/>
                <w:sz w:val="20"/>
                <w:szCs w:val="20"/>
              </w:rPr>
              <w:t>T</w:t>
            </w:r>
            <w:r w:rsidR="00221E9C" w:rsidRPr="00221E9C">
              <w:rPr>
                <w:rFonts w:ascii="Calibri" w:eastAsia="Times New Roman" w:hAnsi="Calibri" w:cs="Calibri"/>
                <w:color w:val="111111"/>
                <w:sz w:val="20"/>
                <w:szCs w:val="20"/>
              </w:rPr>
              <w:t>rade receivables</w:t>
            </w:r>
            <w:r>
              <w:rPr>
                <w:rFonts w:ascii="Calibri" w:eastAsia="Times New Roman" w:hAnsi="Calibri" w:cs="Calibri"/>
                <w:color w:val="111111"/>
                <w:sz w:val="20"/>
                <w:szCs w:val="20"/>
              </w:rPr>
              <w:t xml:space="preserve"> – </w:t>
            </w:r>
            <w:r w:rsidRPr="00221E9C">
              <w:rPr>
                <w:rFonts w:ascii="Calibri" w:eastAsia="Times New Roman" w:hAnsi="Calibri" w:cs="Calibri"/>
                <w:color w:val="111111"/>
                <w:sz w:val="20"/>
                <w:szCs w:val="20"/>
              </w:rPr>
              <w:t>Increase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(480)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A047E9" w:rsidP="00A047E9">
            <w:pPr>
              <w:spacing w:after="0" w:line="240" w:lineRule="auto"/>
              <w:rPr>
                <w:rFonts w:ascii="Calibri" w:eastAsia="Times New Roman" w:hAnsi="Calibri" w:cs="Calibri"/>
                <w:color w:val="111111"/>
                <w:sz w:val="20"/>
                <w:szCs w:val="20"/>
              </w:rPr>
            </w:pPr>
            <w:r>
              <w:rPr>
                <w:rFonts w:ascii="Calibri" w:eastAsia="Times New Roman" w:hAnsi="Calibri" w:cs="Calibri"/>
                <w:color w:val="111111"/>
                <w:sz w:val="20"/>
                <w:szCs w:val="20"/>
              </w:rPr>
              <w:t>I</w:t>
            </w:r>
            <w:r w:rsidR="00221E9C" w:rsidRPr="00221E9C">
              <w:rPr>
                <w:rFonts w:ascii="Calibri" w:eastAsia="Times New Roman" w:hAnsi="Calibri" w:cs="Calibri"/>
                <w:color w:val="111111"/>
                <w:sz w:val="20"/>
                <w:szCs w:val="20"/>
              </w:rPr>
              <w:t>nventories</w:t>
            </w:r>
            <w:r>
              <w:rPr>
                <w:rFonts w:ascii="Calibri" w:eastAsia="Times New Roman" w:hAnsi="Calibri" w:cs="Calibri"/>
                <w:color w:val="111111"/>
                <w:sz w:val="20"/>
                <w:szCs w:val="20"/>
              </w:rPr>
              <w:t xml:space="preserve"> – </w:t>
            </w:r>
            <w:r w:rsidRPr="00221E9C">
              <w:rPr>
                <w:rFonts w:ascii="Calibri" w:eastAsia="Times New Roman" w:hAnsi="Calibri" w:cs="Calibri"/>
                <w:color w:val="111111"/>
                <w:sz w:val="20"/>
                <w:szCs w:val="20"/>
              </w:rPr>
              <w:t>Decrease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600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A047E9" w:rsidP="00221E9C">
            <w:pPr>
              <w:spacing w:after="0" w:line="240" w:lineRule="auto"/>
              <w:rPr>
                <w:rFonts w:ascii="Calibri" w:eastAsia="Times New Roman" w:hAnsi="Calibri" w:cs="Calibri"/>
                <w:color w:val="111111"/>
                <w:sz w:val="20"/>
                <w:szCs w:val="20"/>
              </w:rPr>
            </w:pPr>
            <w:r>
              <w:rPr>
                <w:rFonts w:ascii="Calibri" w:eastAsia="Times New Roman" w:hAnsi="Calibri" w:cs="Calibri"/>
                <w:color w:val="111111"/>
                <w:sz w:val="20"/>
                <w:szCs w:val="20"/>
              </w:rPr>
              <w:t>T</w:t>
            </w:r>
            <w:r w:rsidR="00221E9C" w:rsidRPr="00221E9C">
              <w:rPr>
                <w:rFonts w:ascii="Calibri" w:eastAsia="Times New Roman" w:hAnsi="Calibri" w:cs="Calibri"/>
                <w:color w:val="111111"/>
                <w:sz w:val="20"/>
                <w:szCs w:val="20"/>
              </w:rPr>
              <w:t>rade payables</w:t>
            </w:r>
            <w:r>
              <w:rPr>
                <w:rFonts w:ascii="Calibri" w:eastAsia="Times New Roman" w:hAnsi="Calibri" w:cs="Calibri"/>
                <w:color w:val="111111"/>
                <w:sz w:val="20"/>
                <w:szCs w:val="20"/>
              </w:rPr>
              <w:t xml:space="preserve"> – Increase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30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Tax Paid</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(150)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151414"/>
                <w:sz w:val="20"/>
                <w:szCs w:val="20"/>
              </w:rPr>
            </w:pPr>
            <w:r w:rsidRPr="00221E9C">
              <w:rPr>
                <w:rFonts w:ascii="Calibri" w:eastAsia="Times New Roman" w:hAnsi="Calibri" w:cs="Calibri"/>
                <w:b/>
                <w:bCs/>
                <w:i/>
                <w:iCs/>
                <w:color w:val="151414"/>
                <w:sz w:val="20"/>
                <w:szCs w:val="20"/>
              </w:rPr>
              <w:t>Cash generated from operations</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000000"/>
                <w:sz w:val="20"/>
                <w:szCs w:val="20"/>
              </w:rPr>
            </w:pPr>
            <w:r w:rsidRPr="00221E9C">
              <w:rPr>
                <w:rFonts w:ascii="Calibri" w:eastAsia="Times New Roman" w:hAnsi="Calibri" w:cs="Calibri"/>
                <w:b/>
                <w:bCs/>
                <w:i/>
                <w:iCs/>
                <w:color w:val="000000"/>
                <w:sz w:val="20"/>
                <w:szCs w:val="20"/>
              </w:rPr>
              <w:t xml:space="preserve">          2,450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b/>
                <w:bCs/>
                <w:color w:val="111111"/>
                <w:sz w:val="20"/>
                <w:szCs w:val="20"/>
              </w:rPr>
            </w:pPr>
            <w:r w:rsidRPr="00221E9C">
              <w:rPr>
                <w:rFonts w:ascii="Calibri" w:eastAsia="Times New Roman" w:hAnsi="Calibri" w:cs="Calibri"/>
                <w:b/>
                <w:bCs/>
                <w:color w:val="111111"/>
                <w:sz w:val="20"/>
                <w:szCs w:val="20"/>
              </w:rPr>
              <w:t xml:space="preserve">Cash flows </w:t>
            </w:r>
            <w:r w:rsidR="00A047E9">
              <w:rPr>
                <w:rFonts w:ascii="Calibri" w:eastAsia="Times New Roman" w:hAnsi="Calibri" w:cs="Calibri"/>
                <w:b/>
                <w:bCs/>
                <w:color w:val="111111"/>
                <w:sz w:val="20"/>
                <w:szCs w:val="20"/>
              </w:rPr>
              <w:t>(I</w:t>
            </w:r>
            <w:r w:rsidRPr="00221E9C">
              <w:rPr>
                <w:rFonts w:ascii="Calibri" w:eastAsia="Times New Roman" w:hAnsi="Calibri" w:cs="Calibri"/>
                <w:b/>
                <w:bCs/>
                <w:color w:val="111111"/>
                <w:sz w:val="20"/>
                <w:szCs w:val="20"/>
              </w:rPr>
              <w:t>nvesting activities</w:t>
            </w:r>
            <w:r w:rsidR="00A047E9">
              <w:rPr>
                <w:rFonts w:ascii="Calibri" w:eastAsia="Times New Roman" w:hAnsi="Calibri" w:cs="Calibri"/>
                <w:b/>
                <w:bCs/>
                <w:color w:val="111111"/>
                <w:sz w:val="20"/>
                <w:szCs w:val="20"/>
              </w:rPr>
              <w:t>):</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xml:space="preserve">Purchase of </w:t>
            </w:r>
            <w:r w:rsidR="00A047E9">
              <w:rPr>
                <w:rFonts w:ascii="Calibri" w:eastAsia="Times New Roman" w:hAnsi="Calibri" w:cs="Calibri"/>
                <w:color w:val="111111"/>
                <w:sz w:val="20"/>
                <w:szCs w:val="20"/>
              </w:rPr>
              <w:t>E</w:t>
            </w:r>
            <w:r w:rsidRPr="00221E9C">
              <w:rPr>
                <w:rFonts w:ascii="Calibri" w:eastAsia="Times New Roman" w:hAnsi="Calibri" w:cs="Calibri"/>
                <w:color w:val="111111"/>
                <w:sz w:val="20"/>
                <w:szCs w:val="20"/>
              </w:rPr>
              <w:t>quipment</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(1,560)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Proceeds from equipment</w:t>
            </w:r>
            <w:r w:rsidR="00A047E9">
              <w:rPr>
                <w:rFonts w:ascii="Calibri" w:eastAsia="Times New Roman" w:hAnsi="Calibri" w:cs="Calibri"/>
                <w:color w:val="111111"/>
                <w:sz w:val="20"/>
                <w:szCs w:val="20"/>
              </w:rPr>
              <w:t xml:space="preserve"> Sale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300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111111"/>
                <w:sz w:val="20"/>
                <w:szCs w:val="20"/>
              </w:rPr>
            </w:pPr>
            <w:r w:rsidRPr="00221E9C">
              <w:rPr>
                <w:rFonts w:ascii="Calibri" w:eastAsia="Times New Roman" w:hAnsi="Calibri" w:cs="Calibri"/>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Investment made</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(600)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111111"/>
                <w:sz w:val="20"/>
                <w:szCs w:val="20"/>
              </w:rPr>
            </w:pPr>
            <w:r w:rsidRPr="00221E9C">
              <w:rPr>
                <w:rFonts w:ascii="Calibri" w:eastAsia="Times New Roman" w:hAnsi="Calibri" w:cs="Calibri"/>
                <w:b/>
                <w:bCs/>
                <w:i/>
                <w:iCs/>
                <w:color w:val="111111"/>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151414"/>
                <w:sz w:val="20"/>
                <w:szCs w:val="20"/>
              </w:rPr>
            </w:pPr>
            <w:r w:rsidRPr="00221E9C">
              <w:rPr>
                <w:rFonts w:ascii="Calibri" w:eastAsia="Times New Roman" w:hAnsi="Calibri" w:cs="Calibri"/>
                <w:b/>
                <w:bCs/>
                <w:i/>
                <w:iCs/>
                <w:color w:val="151414"/>
                <w:sz w:val="20"/>
                <w:szCs w:val="20"/>
              </w:rPr>
              <w:t>Net cash flow from investing activities</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000000"/>
                <w:sz w:val="20"/>
                <w:szCs w:val="20"/>
              </w:rPr>
            </w:pPr>
            <w:r w:rsidRPr="00221E9C">
              <w:rPr>
                <w:rFonts w:ascii="Calibri" w:eastAsia="Times New Roman" w:hAnsi="Calibri" w:cs="Calibri"/>
                <w:b/>
                <w:bCs/>
                <w:i/>
                <w:iCs/>
                <w:color w:val="000000"/>
                <w:sz w:val="20"/>
                <w:szCs w:val="20"/>
              </w:rPr>
              <w:t xml:space="preserve">        (1,860)</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b/>
                <w:bCs/>
                <w:color w:val="111111"/>
                <w:sz w:val="20"/>
                <w:szCs w:val="20"/>
              </w:rPr>
            </w:pPr>
            <w:r w:rsidRPr="00221E9C">
              <w:rPr>
                <w:rFonts w:ascii="Calibri" w:eastAsia="Times New Roman" w:hAnsi="Calibri" w:cs="Calibri"/>
                <w:b/>
                <w:bCs/>
                <w:color w:val="111111"/>
                <w:sz w:val="20"/>
                <w:szCs w:val="20"/>
              </w:rPr>
              <w:t xml:space="preserve">Cash flows </w:t>
            </w:r>
            <w:r w:rsidR="00A047E9">
              <w:rPr>
                <w:rFonts w:ascii="Calibri" w:eastAsia="Times New Roman" w:hAnsi="Calibri" w:cs="Calibri"/>
                <w:b/>
                <w:bCs/>
                <w:color w:val="111111"/>
                <w:sz w:val="20"/>
                <w:szCs w:val="20"/>
              </w:rPr>
              <w:t>(F</w:t>
            </w:r>
            <w:r w:rsidRPr="00221E9C">
              <w:rPr>
                <w:rFonts w:ascii="Calibri" w:eastAsia="Times New Roman" w:hAnsi="Calibri" w:cs="Calibri"/>
                <w:b/>
                <w:bCs/>
                <w:color w:val="111111"/>
                <w:sz w:val="20"/>
                <w:szCs w:val="20"/>
              </w:rPr>
              <w:t>inancing activities</w:t>
            </w:r>
            <w:r w:rsidR="00A047E9">
              <w:rPr>
                <w:rFonts w:ascii="Calibri" w:eastAsia="Times New Roman" w:hAnsi="Calibri" w:cs="Calibri"/>
                <w:b/>
                <w:bCs/>
                <w:color w:val="111111"/>
                <w:sz w:val="20"/>
                <w:szCs w:val="20"/>
              </w:rPr>
              <w:t>)</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Equity</w:t>
            </w:r>
            <w:r w:rsidR="00A047E9">
              <w:rPr>
                <w:rFonts w:ascii="Calibri" w:eastAsia="Times New Roman" w:hAnsi="Calibri" w:cs="Calibri"/>
                <w:color w:val="000000"/>
                <w:sz w:val="20"/>
                <w:szCs w:val="20"/>
              </w:rPr>
              <w:t xml:space="preserve"> Issue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1,200 </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A047E9">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Loan</w:t>
            </w:r>
            <w:r w:rsidR="00A047E9">
              <w:rPr>
                <w:rFonts w:ascii="Calibri" w:eastAsia="Times New Roman" w:hAnsi="Calibri" w:cs="Calibri"/>
                <w:color w:val="000000"/>
                <w:sz w:val="20"/>
                <w:szCs w:val="20"/>
              </w:rPr>
              <w:t xml:space="preserve"> </w:t>
            </w:r>
            <w:r w:rsidR="00A047E9" w:rsidRPr="00221E9C">
              <w:rPr>
                <w:rFonts w:ascii="Calibri" w:eastAsia="Times New Roman" w:hAnsi="Calibri" w:cs="Calibri"/>
                <w:color w:val="000000"/>
                <w:sz w:val="20"/>
                <w:szCs w:val="20"/>
              </w:rPr>
              <w:t>Repayment</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(500)</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Interest Paid</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(55)</w:t>
            </w: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i/>
                <w:iCs/>
                <w:color w:val="151414"/>
                <w:sz w:val="20"/>
                <w:szCs w:val="20"/>
              </w:rPr>
            </w:pPr>
            <w:r w:rsidRPr="00221E9C">
              <w:rPr>
                <w:rFonts w:ascii="Calibri" w:eastAsia="Times New Roman" w:hAnsi="Calibri" w:cs="Calibri"/>
                <w:b/>
                <w:bCs/>
                <w:i/>
                <w:iCs/>
                <w:color w:val="151414"/>
                <w:sz w:val="20"/>
                <w:szCs w:val="20"/>
              </w:rPr>
              <w:t>Net cash flow from financing activities</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 xml:space="preserve">              645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Net Cash flow for the period</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1,235 </w:t>
            </w:r>
          </w:p>
        </w:tc>
      </w:tr>
      <w:tr w:rsidR="00221E9C" w:rsidRPr="00221E9C" w:rsidTr="00221E9C">
        <w:trPr>
          <w:trHeight w:val="255"/>
        </w:trPr>
        <w:tc>
          <w:tcPr>
            <w:tcW w:w="0" w:type="auto"/>
            <w:tcBorders>
              <w:top w:val="nil"/>
              <w:left w:val="single" w:sz="4" w:space="0" w:color="auto"/>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Cash and Cash Equivalents Beginning</w:t>
            </w:r>
          </w:p>
        </w:tc>
        <w:tc>
          <w:tcPr>
            <w:tcW w:w="0" w:type="auto"/>
            <w:tcBorders>
              <w:top w:val="nil"/>
              <w:left w:val="nil"/>
              <w:bottom w:val="nil"/>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p>
        </w:tc>
        <w:tc>
          <w:tcPr>
            <w:tcW w:w="0" w:type="auto"/>
            <w:tcBorders>
              <w:top w:val="nil"/>
              <w:left w:val="nil"/>
              <w:bottom w:val="nil"/>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color w:val="000000"/>
                <w:sz w:val="20"/>
                <w:szCs w:val="20"/>
              </w:rPr>
            </w:pPr>
            <w:r w:rsidRPr="00221E9C">
              <w:rPr>
                <w:rFonts w:ascii="Calibri" w:eastAsia="Times New Roman" w:hAnsi="Calibri" w:cs="Calibri"/>
                <w:color w:val="000000"/>
                <w:sz w:val="20"/>
                <w:szCs w:val="20"/>
              </w:rPr>
              <w:t xml:space="preserve">              200 </w:t>
            </w:r>
          </w:p>
        </w:tc>
      </w:tr>
      <w:tr w:rsidR="00221E9C" w:rsidRPr="00221E9C" w:rsidTr="00221E9C">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Cash and Cash Equivalents Ending</w:t>
            </w:r>
          </w:p>
        </w:tc>
        <w:tc>
          <w:tcPr>
            <w:tcW w:w="0" w:type="auto"/>
            <w:tcBorders>
              <w:top w:val="nil"/>
              <w:left w:val="nil"/>
              <w:bottom w:val="single" w:sz="4" w:space="0" w:color="auto"/>
              <w:right w:val="nil"/>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221E9C" w:rsidRPr="00221E9C" w:rsidRDefault="00221E9C" w:rsidP="00221E9C">
            <w:pPr>
              <w:spacing w:after="0" w:line="240" w:lineRule="auto"/>
              <w:rPr>
                <w:rFonts w:ascii="Calibri" w:eastAsia="Times New Roman" w:hAnsi="Calibri" w:cs="Calibri"/>
                <w:b/>
                <w:bCs/>
                <w:color w:val="000000"/>
                <w:sz w:val="20"/>
                <w:szCs w:val="20"/>
              </w:rPr>
            </w:pPr>
            <w:r w:rsidRPr="00221E9C">
              <w:rPr>
                <w:rFonts w:ascii="Calibri" w:eastAsia="Times New Roman" w:hAnsi="Calibri" w:cs="Calibri"/>
                <w:b/>
                <w:bCs/>
                <w:color w:val="000000"/>
                <w:sz w:val="20"/>
                <w:szCs w:val="20"/>
              </w:rPr>
              <w:t xml:space="preserve">          1,435 </w:t>
            </w:r>
          </w:p>
        </w:tc>
      </w:tr>
    </w:tbl>
    <w:p w:rsidR="00221E9C" w:rsidRDefault="00221E9C" w:rsidP="00221E9C">
      <w:pPr>
        <w:rPr>
          <w:b/>
        </w:rPr>
      </w:pPr>
    </w:p>
    <w:p w:rsidR="004C6641" w:rsidRDefault="004C6641" w:rsidP="00221E9C">
      <w:pPr>
        <w:rPr>
          <w:b/>
          <w:u w:val="single"/>
        </w:rPr>
      </w:pPr>
      <w:r>
        <w:rPr>
          <w:b/>
          <w:u w:val="single"/>
        </w:rPr>
        <w:t xml:space="preserve">Working: </w:t>
      </w:r>
    </w:p>
    <w:tbl>
      <w:tblPr>
        <w:tblW w:w="0" w:type="auto"/>
        <w:tblInd w:w="91" w:type="dxa"/>
        <w:tblLook w:val="04A0"/>
      </w:tblPr>
      <w:tblGrid>
        <w:gridCol w:w="2412"/>
        <w:gridCol w:w="1126"/>
      </w:tblGrid>
      <w:tr w:rsidR="004C6641" w:rsidRPr="004C6641" w:rsidTr="004C6641">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Retained Earnings Opening</w:t>
            </w:r>
          </w:p>
        </w:tc>
        <w:tc>
          <w:tcPr>
            <w:tcW w:w="0" w:type="auto"/>
            <w:tcBorders>
              <w:top w:val="single" w:sz="4" w:space="0" w:color="auto"/>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          2,000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Retained Earnings Closing</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          3,300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Dividend Approved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             250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 xml:space="preserve">Net Income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 xml:space="preserve">          1,550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Sale Price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300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xml:space="preserve">Cost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600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Acc Dep</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400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WDV</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200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Gain on Sale</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100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 </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lastRenderedPageBreak/>
              <w:t xml:space="preserve">Tax Payable Opening </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100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Tax Payable Closing</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50</w:t>
            </w:r>
          </w:p>
        </w:tc>
      </w:tr>
      <w:tr w:rsidR="004C6641" w:rsidRPr="004C6641" w:rsidTr="004C6641">
        <w:trPr>
          <w:trHeight w:val="255"/>
        </w:trPr>
        <w:tc>
          <w:tcPr>
            <w:tcW w:w="0" w:type="auto"/>
            <w:tcBorders>
              <w:top w:val="nil"/>
              <w:left w:val="single" w:sz="4" w:space="0" w:color="auto"/>
              <w:bottom w:val="nil"/>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color w:val="000000"/>
                <w:sz w:val="20"/>
                <w:szCs w:val="20"/>
              </w:rPr>
            </w:pPr>
            <w:r w:rsidRPr="004C6641">
              <w:rPr>
                <w:rFonts w:ascii="Calibri" w:eastAsia="Times New Roman" w:hAnsi="Calibri" w:cs="Calibri"/>
                <w:color w:val="000000"/>
                <w:sz w:val="20"/>
                <w:szCs w:val="20"/>
              </w:rPr>
              <w:t>Tax Expense</w:t>
            </w:r>
          </w:p>
        </w:tc>
        <w:tc>
          <w:tcPr>
            <w:tcW w:w="0" w:type="auto"/>
            <w:tcBorders>
              <w:top w:val="nil"/>
              <w:left w:val="nil"/>
              <w:bottom w:val="nil"/>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color w:val="000000"/>
                <w:sz w:val="20"/>
                <w:szCs w:val="20"/>
              </w:rPr>
            </w:pPr>
            <w:r w:rsidRPr="004C6641">
              <w:rPr>
                <w:rFonts w:ascii="Calibri" w:eastAsia="Times New Roman" w:hAnsi="Calibri" w:cs="Calibri"/>
                <w:color w:val="000000"/>
                <w:sz w:val="20"/>
                <w:szCs w:val="20"/>
              </w:rPr>
              <w:t>100</w:t>
            </w:r>
          </w:p>
        </w:tc>
      </w:tr>
      <w:tr w:rsidR="004C6641" w:rsidRPr="004C6641" w:rsidTr="004C6641">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4C6641" w:rsidRPr="004C6641" w:rsidRDefault="004C6641" w:rsidP="004C6641">
            <w:pPr>
              <w:spacing w:after="0" w:line="240" w:lineRule="auto"/>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Tax Paid</w:t>
            </w:r>
          </w:p>
        </w:tc>
        <w:tc>
          <w:tcPr>
            <w:tcW w:w="0" w:type="auto"/>
            <w:tcBorders>
              <w:top w:val="nil"/>
              <w:left w:val="nil"/>
              <w:bottom w:val="single" w:sz="4" w:space="0" w:color="auto"/>
              <w:right w:val="single" w:sz="4" w:space="0" w:color="auto"/>
            </w:tcBorders>
            <w:shd w:val="clear" w:color="auto" w:fill="auto"/>
            <w:noWrap/>
            <w:vAlign w:val="bottom"/>
            <w:hideMark/>
          </w:tcPr>
          <w:p w:rsidR="004C6641" w:rsidRPr="004C6641" w:rsidRDefault="004C6641" w:rsidP="004C6641">
            <w:pPr>
              <w:spacing w:after="0" w:line="240" w:lineRule="auto"/>
              <w:jc w:val="right"/>
              <w:rPr>
                <w:rFonts w:ascii="Calibri" w:eastAsia="Times New Roman" w:hAnsi="Calibri" w:cs="Calibri"/>
                <w:b/>
                <w:bCs/>
                <w:color w:val="000000"/>
                <w:sz w:val="20"/>
                <w:szCs w:val="20"/>
              </w:rPr>
            </w:pPr>
            <w:r w:rsidRPr="004C6641">
              <w:rPr>
                <w:rFonts w:ascii="Calibri" w:eastAsia="Times New Roman" w:hAnsi="Calibri" w:cs="Calibri"/>
                <w:b/>
                <w:bCs/>
                <w:color w:val="000000"/>
                <w:sz w:val="20"/>
                <w:szCs w:val="20"/>
              </w:rPr>
              <w:t>150</w:t>
            </w:r>
          </w:p>
        </w:tc>
      </w:tr>
    </w:tbl>
    <w:p w:rsidR="004C6641" w:rsidRDefault="004C6641" w:rsidP="00221E9C">
      <w:pPr>
        <w:rPr>
          <w:b/>
          <w:u w:val="single"/>
        </w:rPr>
      </w:pPr>
    </w:p>
    <w:p w:rsidR="00221E9C" w:rsidRDefault="00221E9C" w:rsidP="00221E9C">
      <w:pPr>
        <w:rPr>
          <w:b/>
          <w:u w:val="single"/>
        </w:rPr>
      </w:pPr>
      <w:r w:rsidRPr="00221E9C">
        <w:rPr>
          <w:b/>
          <w:u w:val="single"/>
        </w:rPr>
        <w:t>Part B</w:t>
      </w:r>
    </w:p>
    <w:p w:rsidR="00221E9C" w:rsidRDefault="00221E9C" w:rsidP="00221E9C">
      <w:pPr>
        <w:spacing w:line="360" w:lineRule="auto"/>
        <w:jc w:val="both"/>
      </w:pPr>
      <w:r w:rsidRPr="00221E9C">
        <w:t xml:space="preserve">The objective of cash flow statement can in turn be traced to the </w:t>
      </w:r>
      <w:r>
        <w:t xml:space="preserve">overall </w:t>
      </w:r>
      <w:r w:rsidRPr="00221E9C">
        <w:t xml:space="preserve">difference between </w:t>
      </w:r>
      <w:r>
        <w:t xml:space="preserve">the basis on which </w:t>
      </w:r>
      <w:r w:rsidR="00A047E9">
        <w:t xml:space="preserve">profit and loss </w:t>
      </w:r>
      <w:r>
        <w:t xml:space="preserve">and </w:t>
      </w:r>
      <w:r w:rsidR="00A047E9">
        <w:t xml:space="preserve">statements of cash flow </w:t>
      </w:r>
      <w:r>
        <w:t xml:space="preserve">are prepared. Specifically, cash flow statements are prepared on cash basis of accounting </w:t>
      </w:r>
      <w:r w:rsidR="00A047E9">
        <w:t xml:space="preserve">while </w:t>
      </w:r>
      <w:r>
        <w:t xml:space="preserve">statement </w:t>
      </w:r>
      <w:r w:rsidR="00A047E9">
        <w:t xml:space="preserve">of profit and loss </w:t>
      </w:r>
      <w:r>
        <w:t xml:space="preserve">and balance sheet are prepared using accrual basis of accounting. In this context the primary objective of a </w:t>
      </w:r>
      <w:r w:rsidRPr="00221E9C">
        <w:t xml:space="preserve">cash flow statement is to </w:t>
      </w:r>
      <w:r>
        <w:t xml:space="preserve">provide users of the said statement with </w:t>
      </w:r>
      <w:r w:rsidRPr="00221E9C">
        <w:t>necessary information relating to generation of cash to the users of financial statement.</w:t>
      </w:r>
      <w:r>
        <w:t xml:space="preserve"> Further, different components of the statement provide additional information regarding long term sustainability of the business i.e. for a business to be sustainable in the long run there must be a strong relationship between a businesses operating income and operating cash flows. In this context, cash flow statement also provides information regarding quality of a company’s revenues for instance if growth in revenues is accompanied by a higher growth in receivables then it can be concluded that higher revenues are as a result of more lenient credit policies. </w:t>
      </w:r>
    </w:p>
    <w:p w:rsidR="00221E9C" w:rsidRDefault="00221E9C" w:rsidP="00221E9C">
      <w:pPr>
        <w:rPr>
          <w:b/>
          <w:u w:val="single"/>
        </w:rPr>
      </w:pPr>
      <w:r>
        <w:rPr>
          <w:b/>
          <w:u w:val="single"/>
        </w:rPr>
        <w:t>Part C</w:t>
      </w:r>
    </w:p>
    <w:p w:rsidR="00C6015D" w:rsidRDefault="00221E9C" w:rsidP="00221E9C">
      <w:pPr>
        <w:spacing w:line="360" w:lineRule="auto"/>
        <w:jc w:val="both"/>
      </w:pPr>
      <w:r w:rsidRPr="00221E9C">
        <w:t xml:space="preserve">Using the company’s balance sheet liquidity of the company can be assessed using measures such as current and quick ratios. When accompanied by the cash flow statement </w:t>
      </w:r>
      <w:r>
        <w:t xml:space="preserve">users of the statement have additional information regarding cash received and spent over a period of time whereas the final product of the statement indicates </w:t>
      </w:r>
      <w:r w:rsidRPr="00221E9C">
        <w:t>the increase or decrease in cash for a given period</w:t>
      </w:r>
      <w:r>
        <w:t xml:space="preserve">. Cash flow based measures such as </w:t>
      </w:r>
      <w:r w:rsidR="00BE02AF">
        <w:t xml:space="preserve">Free Cash Flow and ratios such as </w:t>
      </w:r>
      <w:r w:rsidR="00BE02AF" w:rsidRPr="00BE02AF">
        <w:t>Cash Flows to Sales</w:t>
      </w:r>
      <w:r w:rsidR="00BE02AF">
        <w:t xml:space="preserve"> and </w:t>
      </w:r>
      <w:r w:rsidR="00BE02AF" w:rsidRPr="00BE02AF">
        <w:t>Cash Flows to Assets</w:t>
      </w:r>
      <w:r w:rsidR="00BE02AF">
        <w:t xml:space="preserve"> can also be used for assessment of company liquidity. </w:t>
      </w:r>
    </w:p>
    <w:p w:rsidR="00BE02AF" w:rsidRDefault="00C6015D" w:rsidP="00221E9C">
      <w:pPr>
        <w:spacing w:line="360" w:lineRule="auto"/>
        <w:jc w:val="both"/>
      </w:pPr>
      <w:r>
        <w:t>L</w:t>
      </w:r>
      <w:r w:rsidR="00BE02AF">
        <w:t xml:space="preserve">iquidity measures </w:t>
      </w:r>
      <w:r>
        <w:t xml:space="preserve">for the company </w:t>
      </w:r>
      <w:r w:rsidR="00BE02AF">
        <w:t xml:space="preserve">are presented below; </w:t>
      </w:r>
    </w:p>
    <w:tbl>
      <w:tblPr>
        <w:tblW w:w="0" w:type="auto"/>
        <w:tblInd w:w="91" w:type="dxa"/>
        <w:tblLook w:val="04A0"/>
      </w:tblPr>
      <w:tblGrid>
        <w:gridCol w:w="1894"/>
        <w:gridCol w:w="1110"/>
      </w:tblGrid>
      <w:tr w:rsidR="00BE02AF" w:rsidRPr="00BE02AF" w:rsidTr="00BE02AF">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Operating Cash Flow</w:t>
            </w:r>
          </w:p>
        </w:tc>
        <w:tc>
          <w:tcPr>
            <w:tcW w:w="0" w:type="auto"/>
            <w:tcBorders>
              <w:top w:val="single" w:sz="4" w:space="0" w:color="auto"/>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xml:space="preserve">         2,450 </w:t>
            </w:r>
          </w:p>
        </w:tc>
      </w:tr>
      <w:tr w:rsidR="00BE02AF" w:rsidRPr="00BE02AF" w:rsidTr="00BE02AF">
        <w:trPr>
          <w:trHeight w:val="255"/>
        </w:trPr>
        <w:tc>
          <w:tcPr>
            <w:tcW w:w="0" w:type="auto"/>
            <w:tcBorders>
              <w:top w:val="nil"/>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Less Capital Expense</w:t>
            </w:r>
          </w:p>
        </w:tc>
        <w:tc>
          <w:tcPr>
            <w:tcW w:w="0" w:type="auto"/>
            <w:tcBorders>
              <w:top w:val="nil"/>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xml:space="preserve">       (1,560)</w:t>
            </w:r>
          </w:p>
        </w:tc>
      </w:tr>
      <w:tr w:rsidR="00BE02AF" w:rsidRPr="00BE02AF" w:rsidTr="00BE02AF">
        <w:trPr>
          <w:trHeight w:val="255"/>
        </w:trPr>
        <w:tc>
          <w:tcPr>
            <w:tcW w:w="0" w:type="auto"/>
            <w:tcBorders>
              <w:top w:val="nil"/>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Free Cash Flow</w:t>
            </w:r>
          </w:p>
        </w:tc>
        <w:tc>
          <w:tcPr>
            <w:tcW w:w="0" w:type="auto"/>
            <w:tcBorders>
              <w:top w:val="nil"/>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xml:space="preserve">            890 </w:t>
            </w:r>
          </w:p>
        </w:tc>
      </w:tr>
      <w:tr w:rsidR="00BE02AF" w:rsidRPr="00BE02AF" w:rsidTr="00BE02AF">
        <w:trPr>
          <w:trHeight w:val="255"/>
        </w:trPr>
        <w:tc>
          <w:tcPr>
            <w:tcW w:w="0" w:type="auto"/>
            <w:tcBorders>
              <w:top w:val="nil"/>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w:t>
            </w:r>
          </w:p>
        </w:tc>
      </w:tr>
      <w:tr w:rsidR="00BE02AF" w:rsidRPr="00BE02AF" w:rsidTr="00BE02AF">
        <w:trPr>
          <w:trHeight w:val="255"/>
        </w:trPr>
        <w:tc>
          <w:tcPr>
            <w:tcW w:w="0" w:type="auto"/>
            <w:tcBorders>
              <w:top w:val="nil"/>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Cash Flow to Assets</w:t>
            </w:r>
          </w:p>
        </w:tc>
        <w:tc>
          <w:tcPr>
            <w:tcW w:w="0" w:type="auto"/>
            <w:tcBorders>
              <w:top w:val="nil"/>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jc w:val="right"/>
              <w:rPr>
                <w:rFonts w:ascii="Calibri" w:eastAsia="Times New Roman" w:hAnsi="Calibri" w:cs="Calibri"/>
                <w:color w:val="000000"/>
                <w:sz w:val="20"/>
                <w:szCs w:val="20"/>
              </w:rPr>
            </w:pPr>
            <w:r w:rsidRPr="00BE02AF">
              <w:rPr>
                <w:rFonts w:ascii="Calibri" w:eastAsia="Times New Roman" w:hAnsi="Calibri" w:cs="Calibri"/>
                <w:color w:val="000000"/>
                <w:sz w:val="20"/>
                <w:szCs w:val="20"/>
              </w:rPr>
              <w:t>7.5%</w:t>
            </w:r>
          </w:p>
        </w:tc>
      </w:tr>
      <w:tr w:rsidR="00BE02AF" w:rsidRPr="00BE02AF" w:rsidTr="00BE02AF">
        <w:trPr>
          <w:trHeight w:val="255"/>
        </w:trPr>
        <w:tc>
          <w:tcPr>
            <w:tcW w:w="0" w:type="auto"/>
            <w:tcBorders>
              <w:top w:val="nil"/>
              <w:left w:val="single" w:sz="4" w:space="0" w:color="auto"/>
              <w:bottom w:val="nil"/>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Current Ratio</w:t>
            </w:r>
          </w:p>
        </w:tc>
        <w:tc>
          <w:tcPr>
            <w:tcW w:w="0" w:type="auto"/>
            <w:tcBorders>
              <w:top w:val="nil"/>
              <w:left w:val="nil"/>
              <w:bottom w:val="nil"/>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xml:space="preserve">           3.59 </w:t>
            </w:r>
          </w:p>
        </w:tc>
      </w:tr>
      <w:tr w:rsidR="00BE02AF" w:rsidRPr="00BE02AF" w:rsidTr="00BE02AF">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Quick Ratio</w:t>
            </w:r>
          </w:p>
        </w:tc>
        <w:tc>
          <w:tcPr>
            <w:tcW w:w="0" w:type="auto"/>
            <w:tcBorders>
              <w:top w:val="nil"/>
              <w:left w:val="nil"/>
              <w:bottom w:val="single" w:sz="4" w:space="0" w:color="auto"/>
              <w:right w:val="single" w:sz="4" w:space="0" w:color="auto"/>
            </w:tcBorders>
            <w:shd w:val="clear" w:color="auto" w:fill="auto"/>
            <w:noWrap/>
            <w:vAlign w:val="bottom"/>
            <w:hideMark/>
          </w:tcPr>
          <w:p w:rsidR="00BE02AF" w:rsidRPr="00BE02AF" w:rsidRDefault="00BE02AF" w:rsidP="00BE02AF">
            <w:pPr>
              <w:spacing w:after="0" w:line="240" w:lineRule="auto"/>
              <w:rPr>
                <w:rFonts w:ascii="Calibri" w:eastAsia="Times New Roman" w:hAnsi="Calibri" w:cs="Calibri"/>
                <w:color w:val="000000"/>
                <w:sz w:val="20"/>
                <w:szCs w:val="20"/>
              </w:rPr>
            </w:pPr>
            <w:r w:rsidRPr="00BE02AF">
              <w:rPr>
                <w:rFonts w:ascii="Calibri" w:eastAsia="Times New Roman" w:hAnsi="Calibri" w:cs="Calibri"/>
                <w:color w:val="000000"/>
                <w:sz w:val="20"/>
                <w:szCs w:val="20"/>
              </w:rPr>
              <w:t xml:space="preserve">           1.82 </w:t>
            </w:r>
          </w:p>
        </w:tc>
      </w:tr>
    </w:tbl>
    <w:p w:rsidR="000976AF" w:rsidRDefault="000976AF">
      <w:pPr>
        <w:rPr>
          <w:b/>
          <w:u w:val="single"/>
        </w:rPr>
      </w:pPr>
    </w:p>
    <w:p w:rsidR="00987C54" w:rsidRPr="00B906C4" w:rsidRDefault="00987C54" w:rsidP="00987C54">
      <w:pPr>
        <w:rPr>
          <w:b/>
          <w:u w:val="single"/>
        </w:rPr>
      </w:pPr>
      <w:r w:rsidRPr="00B906C4">
        <w:rPr>
          <w:b/>
          <w:u w:val="single"/>
        </w:rPr>
        <w:lastRenderedPageBreak/>
        <w:t>Question 3</w:t>
      </w:r>
    </w:p>
    <w:p w:rsidR="008A2F42" w:rsidRPr="00A76E95" w:rsidRDefault="008A2F42" w:rsidP="00987C54">
      <w:pPr>
        <w:spacing w:line="360" w:lineRule="auto"/>
        <w:jc w:val="both"/>
        <w:rPr>
          <w:b/>
          <w:u w:val="single"/>
        </w:rPr>
      </w:pPr>
      <w:r w:rsidRPr="00A76E95">
        <w:rPr>
          <w:b/>
          <w:u w:val="single"/>
        </w:rPr>
        <w:t>Part A</w:t>
      </w:r>
    </w:p>
    <w:p w:rsidR="00A047E9" w:rsidRDefault="008A2F42" w:rsidP="00987C54">
      <w:pPr>
        <w:spacing w:line="360" w:lineRule="auto"/>
        <w:jc w:val="both"/>
      </w:pPr>
      <w:r>
        <w:t xml:space="preserve">The company will need to recognize an </w:t>
      </w:r>
      <w:r w:rsidR="00A047E9">
        <w:t xml:space="preserve">impairment loss. The value of said will be based on the difference between the factory’s </w:t>
      </w:r>
      <w:r w:rsidR="00987C54" w:rsidRPr="00987C54">
        <w:t xml:space="preserve">carrying amount </w:t>
      </w:r>
      <w:r w:rsidR="00A047E9">
        <w:t xml:space="preserve">and </w:t>
      </w:r>
      <w:r w:rsidR="00987C54" w:rsidRPr="00987C54">
        <w:t>its recoverable amount</w:t>
      </w:r>
      <w:r>
        <w:t xml:space="preserve">. </w:t>
      </w:r>
      <w:r w:rsidR="00A047E9">
        <w:t xml:space="preserve">Specifically, if carrying value is greater than the recoverable amount loss will have to be recognized. </w:t>
      </w:r>
    </w:p>
    <w:p w:rsidR="00987C54" w:rsidRDefault="008A2F42" w:rsidP="00987C54">
      <w:pPr>
        <w:spacing w:line="360" w:lineRule="auto"/>
        <w:jc w:val="both"/>
      </w:pPr>
      <w:r>
        <w:t>C</w:t>
      </w:r>
      <w:r w:rsidR="00987C54">
        <w:t xml:space="preserve">arrying amount </w:t>
      </w:r>
      <w:r>
        <w:t xml:space="preserve">in this context will be </w:t>
      </w:r>
      <w:r w:rsidR="00987C54">
        <w:t xml:space="preserve">the amount at which </w:t>
      </w:r>
      <w:r w:rsidR="00A047E9">
        <w:t xml:space="preserve">the factory was </w:t>
      </w:r>
      <w:r w:rsidR="00987C54">
        <w:t>recognized in the balance sheet after ded</w:t>
      </w:r>
      <w:r>
        <w:t xml:space="preserve">ucting accumulated depreciation </w:t>
      </w:r>
      <w:r w:rsidR="00987C54">
        <w:t xml:space="preserve">whereas recoverable amount </w:t>
      </w:r>
      <w:r w:rsidR="00BB6525">
        <w:t>will be</w:t>
      </w:r>
      <w:r w:rsidR="00987C54">
        <w:t xml:space="preserve"> the higher of </w:t>
      </w:r>
      <w:r w:rsidR="00A047E9">
        <w:t>its</w:t>
      </w:r>
      <w:r w:rsidR="00987C54">
        <w:t xml:space="preserve"> fair value </w:t>
      </w:r>
      <w:r w:rsidR="00A047E9">
        <w:t xml:space="preserve">net of any </w:t>
      </w:r>
      <w:r w:rsidR="00987C54">
        <w:t xml:space="preserve">disposal </w:t>
      </w:r>
      <w:r w:rsidR="00A047E9">
        <w:t xml:space="preserve">costs </w:t>
      </w:r>
      <w:r w:rsidR="00987C54">
        <w:t>and its value in use.</w:t>
      </w:r>
    </w:p>
    <w:tbl>
      <w:tblPr>
        <w:tblW w:w="0" w:type="auto"/>
        <w:tblInd w:w="91" w:type="dxa"/>
        <w:tblBorders>
          <w:top w:val="single" w:sz="4" w:space="0" w:color="auto"/>
          <w:left w:val="single" w:sz="4" w:space="0" w:color="auto"/>
          <w:bottom w:val="single" w:sz="4" w:space="0" w:color="auto"/>
          <w:right w:val="single" w:sz="4" w:space="0" w:color="auto"/>
        </w:tblBorders>
        <w:tblLook w:val="04A0"/>
      </w:tblPr>
      <w:tblGrid>
        <w:gridCol w:w="1964"/>
        <w:gridCol w:w="2209"/>
        <w:gridCol w:w="1441"/>
        <w:gridCol w:w="1263"/>
      </w:tblGrid>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Year</w:t>
            </w:r>
          </w:p>
        </w:tc>
        <w:tc>
          <w:tcPr>
            <w:tcW w:w="0" w:type="auto"/>
            <w:shd w:val="clear" w:color="auto" w:fill="auto"/>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 xml:space="preserve">Cost </w:t>
            </w:r>
          </w:p>
        </w:tc>
        <w:tc>
          <w:tcPr>
            <w:tcW w:w="0" w:type="auto"/>
            <w:shd w:val="clear" w:color="auto" w:fill="auto"/>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Depreciation</w:t>
            </w:r>
          </w:p>
        </w:tc>
        <w:tc>
          <w:tcPr>
            <w:tcW w:w="0" w:type="auto"/>
            <w:shd w:val="clear" w:color="auto" w:fill="auto"/>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WDV</w:t>
            </w: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jc w:val="right"/>
              <w:rPr>
                <w:rFonts w:ascii="Calibri" w:eastAsia="Times New Roman" w:hAnsi="Calibri" w:cs="Calibri"/>
                <w:color w:val="000000"/>
                <w:sz w:val="20"/>
                <w:szCs w:val="20"/>
              </w:rPr>
            </w:pPr>
            <w:r w:rsidRPr="008A2F42">
              <w:rPr>
                <w:rFonts w:ascii="Calibri" w:eastAsia="Times New Roman" w:hAnsi="Calibri" w:cs="Calibri"/>
                <w:color w:val="000000"/>
                <w:sz w:val="20"/>
                <w:szCs w:val="20"/>
              </w:rPr>
              <w:t>2017</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950,000.00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95,000.00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855,000.00 </w:t>
            </w: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jc w:val="right"/>
              <w:rPr>
                <w:rFonts w:ascii="Calibri" w:eastAsia="Times New Roman" w:hAnsi="Calibri" w:cs="Calibri"/>
                <w:color w:val="000000"/>
                <w:sz w:val="20"/>
                <w:szCs w:val="20"/>
              </w:rPr>
            </w:pPr>
            <w:r w:rsidRPr="008A2F42">
              <w:rPr>
                <w:rFonts w:ascii="Calibri" w:eastAsia="Times New Roman" w:hAnsi="Calibri" w:cs="Calibri"/>
                <w:color w:val="000000"/>
                <w:sz w:val="20"/>
                <w:szCs w:val="20"/>
              </w:rPr>
              <w:t>2018</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855,000.00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85,500.00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769,500.00 </w:t>
            </w: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jc w:val="right"/>
              <w:rPr>
                <w:rFonts w:ascii="Calibri" w:eastAsia="Times New Roman" w:hAnsi="Calibri" w:cs="Calibri"/>
                <w:color w:val="000000"/>
                <w:sz w:val="20"/>
                <w:szCs w:val="20"/>
              </w:rPr>
            </w:pPr>
            <w:r w:rsidRPr="008A2F42">
              <w:rPr>
                <w:rFonts w:ascii="Calibri" w:eastAsia="Times New Roman" w:hAnsi="Calibri" w:cs="Calibri"/>
                <w:color w:val="000000"/>
                <w:sz w:val="20"/>
                <w:szCs w:val="20"/>
              </w:rPr>
              <w:t>2019</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769,500.00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76,950.00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692,550.00 </w:t>
            </w: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jc w:val="right"/>
              <w:rPr>
                <w:rFonts w:ascii="Calibri" w:eastAsia="Times New Roman" w:hAnsi="Calibri" w:cs="Calibri"/>
                <w:color w:val="000000"/>
                <w:sz w:val="20"/>
                <w:szCs w:val="20"/>
              </w:rPr>
            </w:pPr>
            <w:r w:rsidRPr="008A2F42">
              <w:rPr>
                <w:rFonts w:ascii="Calibri" w:eastAsia="Times New Roman" w:hAnsi="Calibri" w:cs="Calibri"/>
                <w:color w:val="000000"/>
                <w:sz w:val="20"/>
                <w:szCs w:val="20"/>
              </w:rPr>
              <w:t>2020</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692,550.00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69,255.00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623,295.00 </w:t>
            </w: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Carrying value</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 xml:space="preserve">            623,295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Fair Value</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470,000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Selling Expense</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2,000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gridSpan w:val="2"/>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Fair Value Net of Selling Expense</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468,000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510"/>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Year</w:t>
            </w:r>
          </w:p>
        </w:tc>
        <w:tc>
          <w:tcPr>
            <w:tcW w:w="0" w:type="auto"/>
            <w:shd w:val="clear" w:color="auto" w:fill="auto"/>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PV of Future Cash Flows</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color w:val="000000"/>
                <w:sz w:val="20"/>
                <w:szCs w:val="20"/>
              </w:rPr>
            </w:pPr>
            <w:r w:rsidRPr="008A2F42">
              <w:rPr>
                <w:rFonts w:ascii="Calibri" w:eastAsia="Times New Roman" w:hAnsi="Calibri" w:cs="Calibri"/>
                <w:color w:val="000000"/>
                <w:sz w:val="20"/>
                <w:szCs w:val="20"/>
              </w:rPr>
              <w:t>1</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195,000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color w:val="000000"/>
                <w:sz w:val="20"/>
                <w:szCs w:val="20"/>
              </w:rPr>
            </w:pPr>
            <w:r w:rsidRPr="008A2F42">
              <w:rPr>
                <w:rFonts w:ascii="Calibri" w:eastAsia="Times New Roman" w:hAnsi="Calibri" w:cs="Calibri"/>
                <w:color w:val="000000"/>
                <w:sz w:val="20"/>
                <w:szCs w:val="20"/>
              </w:rPr>
              <w:t>2</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145,000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color w:val="000000"/>
                <w:sz w:val="20"/>
                <w:szCs w:val="20"/>
              </w:rPr>
            </w:pPr>
            <w:r w:rsidRPr="008A2F42">
              <w:rPr>
                <w:rFonts w:ascii="Calibri" w:eastAsia="Times New Roman" w:hAnsi="Calibri" w:cs="Calibri"/>
                <w:color w:val="000000"/>
                <w:sz w:val="20"/>
                <w:szCs w:val="20"/>
              </w:rPr>
              <w:t>3</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100,000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color w:val="000000"/>
                <w:sz w:val="20"/>
                <w:szCs w:val="20"/>
              </w:rPr>
            </w:pPr>
            <w:r w:rsidRPr="008A2F42">
              <w:rPr>
                <w:rFonts w:ascii="Calibri" w:eastAsia="Times New Roman" w:hAnsi="Calibri" w:cs="Calibri"/>
                <w:color w:val="000000"/>
                <w:sz w:val="20"/>
                <w:szCs w:val="20"/>
              </w:rPr>
              <w:t>4</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r w:rsidRPr="008A2F42">
              <w:rPr>
                <w:rFonts w:ascii="Calibri" w:eastAsia="Times New Roman" w:hAnsi="Calibri" w:cs="Calibri"/>
                <w:color w:val="000000"/>
                <w:sz w:val="20"/>
                <w:szCs w:val="20"/>
              </w:rPr>
              <w:t xml:space="preserve">                         65,000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center"/>
            <w:hideMark/>
          </w:tcPr>
          <w:p w:rsidR="008A2F42" w:rsidRPr="008A2F42" w:rsidRDefault="008A2F42" w:rsidP="008A2F42">
            <w:pPr>
              <w:spacing w:after="0" w:line="240" w:lineRule="auto"/>
              <w:jc w:val="center"/>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Value in Use</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 xml:space="preserve">                       505,000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Recoverable Amount</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 xml:space="preserve">                       505,000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r w:rsidR="008A2F42" w:rsidRPr="008A2F42" w:rsidTr="008A2F42">
        <w:trPr>
          <w:trHeight w:val="255"/>
        </w:trPr>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Impairment Loss</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b/>
                <w:bCs/>
                <w:color w:val="000000"/>
                <w:sz w:val="20"/>
                <w:szCs w:val="20"/>
              </w:rPr>
            </w:pPr>
            <w:r w:rsidRPr="008A2F42">
              <w:rPr>
                <w:rFonts w:ascii="Calibri" w:eastAsia="Times New Roman" w:hAnsi="Calibri" w:cs="Calibri"/>
                <w:b/>
                <w:bCs/>
                <w:color w:val="000000"/>
                <w:sz w:val="20"/>
                <w:szCs w:val="20"/>
              </w:rPr>
              <w:t xml:space="preserve">                       118,295 </w:t>
            </w: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c>
          <w:tcPr>
            <w:tcW w:w="0" w:type="auto"/>
            <w:shd w:val="clear" w:color="auto" w:fill="auto"/>
            <w:noWrap/>
            <w:vAlign w:val="bottom"/>
            <w:hideMark/>
          </w:tcPr>
          <w:p w:rsidR="008A2F42" w:rsidRPr="008A2F42" w:rsidRDefault="008A2F42" w:rsidP="008A2F42">
            <w:pPr>
              <w:spacing w:after="0" w:line="240" w:lineRule="auto"/>
              <w:rPr>
                <w:rFonts w:ascii="Calibri" w:eastAsia="Times New Roman" w:hAnsi="Calibri" w:cs="Calibri"/>
                <w:color w:val="000000"/>
                <w:sz w:val="20"/>
                <w:szCs w:val="20"/>
              </w:rPr>
            </w:pPr>
          </w:p>
        </w:tc>
      </w:tr>
    </w:tbl>
    <w:p w:rsidR="00BE02AF" w:rsidRDefault="00BE02AF" w:rsidP="00221E9C">
      <w:pPr>
        <w:spacing w:line="360" w:lineRule="auto"/>
        <w:jc w:val="both"/>
      </w:pPr>
    </w:p>
    <w:p w:rsidR="00A76E95" w:rsidRDefault="00A76E95" w:rsidP="00A76E95">
      <w:pPr>
        <w:spacing w:line="360" w:lineRule="auto"/>
        <w:jc w:val="both"/>
        <w:rPr>
          <w:b/>
          <w:u w:val="single"/>
        </w:rPr>
      </w:pPr>
      <w:r>
        <w:rPr>
          <w:b/>
          <w:u w:val="single"/>
        </w:rPr>
        <w:t>Part B</w:t>
      </w:r>
    </w:p>
    <w:p w:rsidR="00DD0A94" w:rsidRDefault="00DD0A94" w:rsidP="00DD0A94">
      <w:pPr>
        <w:tabs>
          <w:tab w:val="left" w:pos="5660"/>
        </w:tabs>
        <w:spacing w:line="360" w:lineRule="auto"/>
        <w:jc w:val="both"/>
      </w:pPr>
      <w:r w:rsidRPr="00DD0A94">
        <w:t xml:space="preserve">Repair and maintenance expenses under the applicable </w:t>
      </w:r>
      <w:r w:rsidR="008B1C6F">
        <w:t xml:space="preserve">accounting standard are normally expenses as incurred. However under limited circumstances, </w:t>
      </w:r>
      <w:r w:rsidR="00555B34">
        <w:t xml:space="preserve">repair expenses may be capitalized if such </w:t>
      </w:r>
      <w:r w:rsidR="00555B34" w:rsidRPr="00555B34">
        <w:t>costs either extend the useful life of an existing asset or increase its productive capacity</w:t>
      </w:r>
      <w:r w:rsidR="00555B34">
        <w:t xml:space="preserve">. In this context the treatment of repair expense incurred on the factory will depend on whether there is an increase in </w:t>
      </w:r>
      <w:r w:rsidR="00555B34">
        <w:lastRenderedPageBreak/>
        <w:t xml:space="preserve">either its productive capacity or its useful life. If either is the case the expense incurred may be capitalized otherwise it will be expensed as incurred. </w:t>
      </w:r>
    </w:p>
    <w:p w:rsidR="00555B34" w:rsidRPr="00555B34" w:rsidRDefault="00555B34" w:rsidP="00DD0A94">
      <w:pPr>
        <w:tabs>
          <w:tab w:val="left" w:pos="5660"/>
        </w:tabs>
        <w:spacing w:line="360" w:lineRule="auto"/>
        <w:jc w:val="both"/>
        <w:rPr>
          <w:b/>
          <w:u w:val="single"/>
        </w:rPr>
      </w:pPr>
      <w:r w:rsidRPr="00555B34">
        <w:rPr>
          <w:b/>
          <w:u w:val="single"/>
        </w:rPr>
        <w:t>Part C</w:t>
      </w:r>
    </w:p>
    <w:p w:rsidR="00555B34" w:rsidRPr="00555B34" w:rsidRDefault="00555B34" w:rsidP="00CE4503">
      <w:pPr>
        <w:pStyle w:val="Default"/>
        <w:spacing w:line="360" w:lineRule="auto"/>
        <w:jc w:val="both"/>
        <w:rPr>
          <w:rFonts w:asciiTheme="minorHAnsi" w:hAnsiTheme="minorHAnsi" w:cstheme="minorHAnsi"/>
          <w:sz w:val="20"/>
          <w:szCs w:val="20"/>
        </w:rPr>
      </w:pPr>
      <w:r w:rsidRPr="00555B34">
        <w:rPr>
          <w:rFonts w:asciiTheme="minorHAnsi" w:hAnsiTheme="minorHAnsi" w:cstheme="minorHAnsi"/>
          <w:sz w:val="20"/>
          <w:szCs w:val="20"/>
        </w:rPr>
        <w:t xml:space="preserve">Under the IFRS Conceptual Framework of 2018 the primary users of financial statements include </w:t>
      </w:r>
      <w:r w:rsidR="00DD21CC">
        <w:rPr>
          <w:rFonts w:asciiTheme="minorHAnsi" w:hAnsiTheme="minorHAnsi" w:cstheme="minorHAnsi"/>
          <w:sz w:val="20"/>
          <w:szCs w:val="20"/>
        </w:rPr>
        <w:t xml:space="preserve">potential and </w:t>
      </w:r>
      <w:r w:rsidRPr="00555B34">
        <w:rPr>
          <w:rFonts w:asciiTheme="minorHAnsi" w:hAnsiTheme="minorHAnsi" w:cstheme="minorHAnsi"/>
          <w:sz w:val="20"/>
          <w:szCs w:val="20"/>
        </w:rPr>
        <w:t xml:space="preserve">existing investors, </w:t>
      </w:r>
      <w:r w:rsidR="00DD21CC">
        <w:rPr>
          <w:rFonts w:asciiTheme="minorHAnsi" w:hAnsiTheme="minorHAnsi" w:cstheme="minorHAnsi"/>
          <w:sz w:val="20"/>
          <w:szCs w:val="20"/>
        </w:rPr>
        <w:t xml:space="preserve">debtors </w:t>
      </w:r>
      <w:r w:rsidRPr="00555B34">
        <w:rPr>
          <w:rFonts w:asciiTheme="minorHAnsi" w:hAnsiTheme="minorHAnsi" w:cstheme="minorHAnsi"/>
          <w:sz w:val="20"/>
          <w:szCs w:val="20"/>
        </w:rPr>
        <w:t>and other creditors. Further, the objectives of the financial statements under the framework include allowing users of statements to make decisions regarding;</w:t>
      </w:r>
    </w:p>
    <w:p w:rsidR="00555B34" w:rsidRPr="00555B34" w:rsidRDefault="00555B34" w:rsidP="00CE4503">
      <w:pPr>
        <w:pStyle w:val="Default"/>
        <w:spacing w:line="360" w:lineRule="auto"/>
        <w:jc w:val="both"/>
        <w:rPr>
          <w:rFonts w:asciiTheme="minorHAnsi" w:hAnsiTheme="minorHAnsi" w:cstheme="minorHAnsi"/>
          <w:sz w:val="20"/>
          <w:szCs w:val="20"/>
        </w:rPr>
      </w:pPr>
    </w:p>
    <w:p w:rsidR="00555B34" w:rsidRPr="00555B34" w:rsidRDefault="00DD21CC" w:rsidP="00CE4503">
      <w:pPr>
        <w:pStyle w:val="ListParagraph"/>
        <w:numPr>
          <w:ilvl w:val="0"/>
          <w:numId w:val="3"/>
        </w:numPr>
        <w:spacing w:line="360" w:lineRule="auto"/>
        <w:jc w:val="both"/>
        <w:rPr>
          <w:rFonts w:cstheme="minorHAnsi"/>
          <w:sz w:val="20"/>
          <w:szCs w:val="20"/>
        </w:rPr>
      </w:pPr>
      <w:r>
        <w:rPr>
          <w:rFonts w:cstheme="minorHAnsi"/>
          <w:sz w:val="20"/>
          <w:szCs w:val="20"/>
        </w:rPr>
        <w:t xml:space="preserve">Purchase and disposal </w:t>
      </w:r>
      <w:r w:rsidR="00555B34" w:rsidRPr="00555B34">
        <w:rPr>
          <w:rFonts w:cstheme="minorHAnsi"/>
          <w:sz w:val="20"/>
          <w:szCs w:val="20"/>
        </w:rPr>
        <w:t xml:space="preserve">or holding </w:t>
      </w:r>
      <w:r>
        <w:rPr>
          <w:rFonts w:cstheme="minorHAnsi"/>
          <w:sz w:val="20"/>
          <w:szCs w:val="20"/>
        </w:rPr>
        <w:t xml:space="preserve">of </w:t>
      </w:r>
      <w:r w:rsidR="00555B34" w:rsidRPr="00555B34">
        <w:rPr>
          <w:rFonts w:cstheme="minorHAnsi"/>
          <w:sz w:val="20"/>
          <w:szCs w:val="20"/>
        </w:rPr>
        <w:t>equity and debt instruments of the reporting entity;</w:t>
      </w:r>
    </w:p>
    <w:p w:rsidR="00555B34" w:rsidRPr="00555B34" w:rsidRDefault="00DD21CC" w:rsidP="00CE4503">
      <w:pPr>
        <w:pStyle w:val="ListParagraph"/>
        <w:numPr>
          <w:ilvl w:val="0"/>
          <w:numId w:val="3"/>
        </w:numPr>
        <w:spacing w:line="360" w:lineRule="auto"/>
        <w:jc w:val="both"/>
        <w:rPr>
          <w:rFonts w:cstheme="minorHAnsi"/>
          <w:sz w:val="20"/>
          <w:szCs w:val="20"/>
        </w:rPr>
      </w:pPr>
      <w:r>
        <w:rPr>
          <w:rFonts w:cstheme="minorHAnsi"/>
          <w:sz w:val="20"/>
          <w:szCs w:val="20"/>
        </w:rPr>
        <w:t xml:space="preserve">Provision </w:t>
      </w:r>
      <w:r w:rsidR="00555B34" w:rsidRPr="00555B34">
        <w:rPr>
          <w:rFonts w:cstheme="minorHAnsi"/>
          <w:sz w:val="20"/>
          <w:szCs w:val="20"/>
        </w:rPr>
        <w:t xml:space="preserve">or settling </w:t>
      </w:r>
      <w:r>
        <w:rPr>
          <w:rFonts w:cstheme="minorHAnsi"/>
          <w:sz w:val="20"/>
          <w:szCs w:val="20"/>
        </w:rPr>
        <w:t xml:space="preserve">of </w:t>
      </w:r>
      <w:r w:rsidR="00555B34" w:rsidRPr="00555B34">
        <w:rPr>
          <w:rFonts w:cstheme="minorHAnsi"/>
          <w:sz w:val="20"/>
          <w:szCs w:val="20"/>
        </w:rPr>
        <w:t xml:space="preserve">loans and other forms of credit to the reporting entity; or </w:t>
      </w:r>
    </w:p>
    <w:p w:rsidR="00221E9C" w:rsidRDefault="00555B34" w:rsidP="00CE4503">
      <w:pPr>
        <w:pStyle w:val="ListParagraph"/>
        <w:numPr>
          <w:ilvl w:val="0"/>
          <w:numId w:val="3"/>
        </w:numPr>
        <w:spacing w:line="360" w:lineRule="auto"/>
        <w:jc w:val="both"/>
        <w:rPr>
          <w:rFonts w:cstheme="minorHAnsi"/>
          <w:sz w:val="20"/>
          <w:szCs w:val="20"/>
        </w:rPr>
      </w:pPr>
      <w:r w:rsidRPr="00555B34">
        <w:rPr>
          <w:rFonts w:cstheme="minorHAnsi"/>
          <w:sz w:val="20"/>
          <w:szCs w:val="20"/>
        </w:rPr>
        <w:t xml:space="preserve">Exercising rights to vote or </w:t>
      </w:r>
      <w:r w:rsidR="00DD21CC">
        <w:rPr>
          <w:rFonts w:cstheme="minorHAnsi"/>
          <w:sz w:val="20"/>
          <w:szCs w:val="20"/>
        </w:rPr>
        <w:t>influencing</w:t>
      </w:r>
      <w:r w:rsidRPr="00555B34">
        <w:rPr>
          <w:rFonts w:cstheme="minorHAnsi"/>
          <w:sz w:val="20"/>
          <w:szCs w:val="20"/>
        </w:rPr>
        <w:t xml:space="preserve"> management’s actions which can affect the use of the entity’s economic resources.</w:t>
      </w:r>
    </w:p>
    <w:p w:rsidR="00C547F4" w:rsidRPr="00C547F4" w:rsidRDefault="00C547F4" w:rsidP="00CE4503">
      <w:pPr>
        <w:spacing w:line="360" w:lineRule="auto"/>
        <w:jc w:val="both"/>
        <w:rPr>
          <w:rFonts w:cstheme="minorHAnsi"/>
          <w:sz w:val="20"/>
          <w:szCs w:val="20"/>
        </w:rPr>
      </w:pPr>
      <w:r>
        <w:rPr>
          <w:rFonts w:cstheme="minorHAnsi"/>
          <w:sz w:val="20"/>
          <w:szCs w:val="20"/>
        </w:rPr>
        <w:t xml:space="preserve">The information provided by the financial statements in this regards should not only be useful but also material whereas an information may be considered material under the framework if its </w:t>
      </w:r>
      <w:r w:rsidRPr="00C547F4">
        <w:rPr>
          <w:rFonts w:cstheme="minorHAnsi"/>
          <w:sz w:val="20"/>
          <w:szCs w:val="20"/>
        </w:rPr>
        <w:t>omitting misstating could influence decisions</w:t>
      </w:r>
      <w:r>
        <w:rPr>
          <w:rFonts w:cstheme="minorHAnsi"/>
          <w:sz w:val="20"/>
          <w:szCs w:val="20"/>
        </w:rPr>
        <w:t xml:space="preserve"> made by  </w:t>
      </w:r>
      <w:r w:rsidRPr="00C547F4">
        <w:rPr>
          <w:rFonts w:cstheme="minorHAnsi"/>
          <w:sz w:val="20"/>
          <w:szCs w:val="20"/>
        </w:rPr>
        <w:t xml:space="preserve">primary users of financial </w:t>
      </w:r>
      <w:r w:rsidR="004924D8">
        <w:rPr>
          <w:rFonts w:cstheme="minorHAnsi"/>
          <w:sz w:val="20"/>
          <w:szCs w:val="20"/>
        </w:rPr>
        <w:t xml:space="preserve">statements. </w:t>
      </w:r>
    </w:p>
    <w:p w:rsidR="000976AF" w:rsidRDefault="000976AF">
      <w:pPr>
        <w:rPr>
          <w:b/>
          <w:u w:val="single"/>
        </w:rPr>
      </w:pPr>
      <w:r>
        <w:rPr>
          <w:b/>
          <w:u w:val="single"/>
        </w:rPr>
        <w:br w:type="page"/>
      </w:r>
    </w:p>
    <w:p w:rsidR="00B906C4" w:rsidRDefault="00B906C4" w:rsidP="00B906C4">
      <w:pPr>
        <w:rPr>
          <w:b/>
          <w:u w:val="single"/>
        </w:rPr>
      </w:pPr>
      <w:r w:rsidRPr="00B906C4">
        <w:rPr>
          <w:b/>
          <w:u w:val="single"/>
        </w:rPr>
        <w:lastRenderedPageBreak/>
        <w:t>Question 5</w:t>
      </w:r>
    </w:p>
    <w:p w:rsidR="00C57497" w:rsidRPr="00B906C4" w:rsidRDefault="00C57497" w:rsidP="00B906C4">
      <w:pPr>
        <w:rPr>
          <w:b/>
          <w:u w:val="single"/>
        </w:rPr>
      </w:pPr>
      <w:r>
        <w:rPr>
          <w:b/>
          <w:u w:val="single"/>
        </w:rPr>
        <w:t>Part A</w:t>
      </w:r>
    </w:p>
    <w:tbl>
      <w:tblPr>
        <w:tblW w:w="0" w:type="auto"/>
        <w:tblInd w:w="91" w:type="dxa"/>
        <w:tblLook w:val="04A0"/>
      </w:tblPr>
      <w:tblGrid>
        <w:gridCol w:w="2799"/>
        <w:gridCol w:w="1305"/>
      </w:tblGrid>
      <w:tr w:rsidR="00C57497" w:rsidRPr="00C57497" w:rsidTr="00C57497">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Stag Ltd</w:t>
            </w:r>
          </w:p>
        </w:tc>
        <w:tc>
          <w:tcPr>
            <w:tcW w:w="0" w:type="auto"/>
            <w:tcBorders>
              <w:top w:val="single" w:sz="4" w:space="0" w:color="auto"/>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Consolidated Balance Sheet</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ASSETS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Non-current assets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Property, plant and equipment</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345,000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Goodwill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13,213 </w:t>
            </w:r>
          </w:p>
        </w:tc>
      </w:tr>
      <w:tr w:rsidR="00C57497" w:rsidRPr="00C57497" w:rsidTr="00153285">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Investments in Foal</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12,500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Current assets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Inventories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18,667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Trade Receivables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7,000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Cash and cash equivalents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3,250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TOTAL ASSETS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 xml:space="preserve">         399,629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EQUITY AND LIABILITIES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Ordinary Shares £1</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250,000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Retained Earnings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111,067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153285"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Minority</w:t>
            </w:r>
            <w:r w:rsidR="00C57497" w:rsidRPr="00C57497">
              <w:rPr>
                <w:rFonts w:ascii="Calibri" w:eastAsia="Times New Roman" w:hAnsi="Calibri" w:cs="Calibri"/>
                <w:color w:val="000000"/>
                <w:sz w:val="20"/>
                <w:szCs w:val="20"/>
              </w:rPr>
              <w:t xml:space="preserve"> Interest</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12,563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373,629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Current Liabilities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26,000 </w:t>
            </w:r>
          </w:p>
        </w:tc>
      </w:tr>
      <w:tr w:rsidR="00C57497" w:rsidRPr="00C57497" w:rsidTr="00C57497">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TOTAL EQUITY AND LIABILITIES</w:t>
            </w:r>
          </w:p>
        </w:tc>
        <w:tc>
          <w:tcPr>
            <w:tcW w:w="0" w:type="auto"/>
            <w:tcBorders>
              <w:top w:val="nil"/>
              <w:left w:val="nil"/>
              <w:bottom w:val="single" w:sz="4" w:space="0" w:color="auto"/>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 xml:space="preserve">         399,629 </w:t>
            </w:r>
          </w:p>
        </w:tc>
      </w:tr>
    </w:tbl>
    <w:p w:rsidR="00C57497" w:rsidRDefault="00C57497">
      <w:pPr>
        <w:rPr>
          <w:b/>
        </w:rPr>
      </w:pPr>
    </w:p>
    <w:p w:rsidR="00C57497" w:rsidRDefault="00C57497">
      <w:pPr>
        <w:rPr>
          <w:b/>
        </w:rPr>
      </w:pPr>
      <w:r>
        <w:rPr>
          <w:b/>
        </w:rPr>
        <w:t>Working:</w:t>
      </w:r>
    </w:p>
    <w:tbl>
      <w:tblPr>
        <w:tblW w:w="0" w:type="auto"/>
        <w:tblInd w:w="91" w:type="dxa"/>
        <w:tblLook w:val="04A0"/>
      </w:tblPr>
      <w:tblGrid>
        <w:gridCol w:w="1636"/>
        <w:gridCol w:w="1298"/>
      </w:tblGrid>
      <w:tr w:rsidR="00C57497" w:rsidRPr="00C57497" w:rsidTr="00C57497">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Deer Ltd</w:t>
            </w:r>
          </w:p>
        </w:tc>
        <w:tc>
          <w:tcPr>
            <w:tcW w:w="0" w:type="auto"/>
            <w:tcBorders>
              <w:top w:val="single" w:sz="4" w:space="0" w:color="auto"/>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Total Shares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48,000.00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Owned by Stag</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36,000.00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Ownership</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jc w:val="right"/>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75%</w:t>
            </w:r>
          </w:p>
        </w:tc>
      </w:tr>
      <w:tr w:rsidR="00C57497" w:rsidRPr="00C57497" w:rsidTr="00C57497">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Minority Interest</w:t>
            </w:r>
          </w:p>
        </w:tc>
        <w:tc>
          <w:tcPr>
            <w:tcW w:w="0" w:type="auto"/>
            <w:tcBorders>
              <w:top w:val="nil"/>
              <w:left w:val="nil"/>
              <w:bottom w:val="single" w:sz="4" w:space="0" w:color="auto"/>
              <w:right w:val="single" w:sz="4" w:space="0" w:color="auto"/>
            </w:tcBorders>
            <w:shd w:val="clear" w:color="auto" w:fill="auto"/>
            <w:noWrap/>
            <w:vAlign w:val="bottom"/>
            <w:hideMark/>
          </w:tcPr>
          <w:p w:rsidR="00C57497" w:rsidRPr="00C57497" w:rsidRDefault="00C57497" w:rsidP="00C57497">
            <w:pPr>
              <w:spacing w:after="0" w:line="240" w:lineRule="auto"/>
              <w:jc w:val="right"/>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25%</w:t>
            </w:r>
          </w:p>
        </w:tc>
      </w:tr>
    </w:tbl>
    <w:p w:rsidR="00C57497" w:rsidRDefault="00C57497">
      <w:pPr>
        <w:rPr>
          <w:b/>
        </w:rPr>
      </w:pPr>
    </w:p>
    <w:tbl>
      <w:tblPr>
        <w:tblW w:w="0" w:type="auto"/>
        <w:tblInd w:w="91" w:type="dxa"/>
        <w:tblLook w:val="04A0"/>
      </w:tblPr>
      <w:tblGrid>
        <w:gridCol w:w="3931"/>
        <w:gridCol w:w="1313"/>
      </w:tblGrid>
      <w:tr w:rsidR="00C57497" w:rsidRPr="00C57497" w:rsidTr="00C57497">
        <w:trPr>
          <w:trHeight w:val="255"/>
        </w:trPr>
        <w:tc>
          <w:tcPr>
            <w:tcW w:w="0" w:type="auto"/>
            <w:tcBorders>
              <w:top w:val="single" w:sz="4" w:space="0" w:color="auto"/>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Invoice Value </w:t>
            </w:r>
          </w:p>
        </w:tc>
        <w:tc>
          <w:tcPr>
            <w:tcW w:w="0" w:type="auto"/>
            <w:tcBorders>
              <w:top w:val="single" w:sz="4" w:space="0" w:color="auto"/>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jc w:val="right"/>
              <w:rPr>
                <w:rFonts w:ascii="Calibri" w:eastAsia="Times New Roman" w:hAnsi="Calibri" w:cs="Calibri"/>
                <w:color w:val="000000"/>
                <w:sz w:val="20"/>
                <w:szCs w:val="20"/>
              </w:rPr>
            </w:pPr>
            <w:r w:rsidRPr="00C57497">
              <w:rPr>
                <w:rFonts w:ascii="Calibri" w:eastAsia="Times New Roman" w:hAnsi="Calibri" w:cs="Calibri"/>
                <w:color w:val="000000"/>
                <w:sz w:val="20"/>
                <w:szCs w:val="20"/>
              </w:rPr>
              <w:t>5,000</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Margin</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jc w:val="right"/>
              <w:rPr>
                <w:rFonts w:ascii="Calibri" w:eastAsia="Times New Roman" w:hAnsi="Calibri" w:cs="Calibri"/>
                <w:color w:val="000000"/>
                <w:sz w:val="20"/>
                <w:szCs w:val="20"/>
              </w:rPr>
            </w:pPr>
            <w:r w:rsidRPr="00C57497">
              <w:rPr>
                <w:rFonts w:ascii="Calibri" w:eastAsia="Times New Roman" w:hAnsi="Calibri" w:cs="Calibri"/>
                <w:color w:val="000000"/>
                <w:sz w:val="20"/>
                <w:szCs w:val="20"/>
              </w:rPr>
              <w:t>20%</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 xml:space="preserve">Cost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sidRPr="00C57497">
              <w:rPr>
                <w:rFonts w:ascii="Calibri" w:eastAsia="Times New Roman" w:hAnsi="Calibri" w:cs="Calibri"/>
                <w:b/>
                <w:bCs/>
                <w:color w:val="000000"/>
                <w:sz w:val="20"/>
                <w:szCs w:val="20"/>
              </w:rPr>
              <w:t xml:space="preserve">              4,167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No of Units</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2,500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Cost per unit for Deer</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Units Unsold</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1,667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Book Value in Stag's Book of unsold Inventory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2,000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Difference</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333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Minority Interest </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jc w:val="right"/>
              <w:rPr>
                <w:rFonts w:ascii="Calibri" w:eastAsia="Times New Roman" w:hAnsi="Calibri" w:cs="Calibri"/>
                <w:color w:val="000000"/>
                <w:sz w:val="20"/>
                <w:szCs w:val="20"/>
              </w:rPr>
            </w:pPr>
            <w:r w:rsidRPr="00C57497">
              <w:rPr>
                <w:rFonts w:ascii="Calibri" w:eastAsia="Times New Roman" w:hAnsi="Calibri" w:cs="Calibri"/>
                <w:color w:val="000000"/>
                <w:sz w:val="20"/>
                <w:szCs w:val="20"/>
              </w:rPr>
              <w:t>25%</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Total Equity</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50,250 </w:t>
            </w:r>
          </w:p>
        </w:tc>
      </w:tr>
      <w:tr w:rsidR="00C57497" w:rsidRPr="00C57497" w:rsidTr="00C57497">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Minority Interest </w:t>
            </w:r>
          </w:p>
        </w:tc>
        <w:tc>
          <w:tcPr>
            <w:tcW w:w="0" w:type="auto"/>
            <w:tcBorders>
              <w:top w:val="nil"/>
              <w:left w:val="nil"/>
              <w:bottom w:val="single" w:sz="4" w:space="0" w:color="auto"/>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12,562.50 </w:t>
            </w:r>
          </w:p>
        </w:tc>
      </w:tr>
    </w:tbl>
    <w:p w:rsidR="00C57497" w:rsidRDefault="00C57497">
      <w:pPr>
        <w:rPr>
          <w:b/>
        </w:rPr>
      </w:pPr>
    </w:p>
    <w:tbl>
      <w:tblPr>
        <w:tblW w:w="0" w:type="auto"/>
        <w:tblInd w:w="91" w:type="dxa"/>
        <w:tblLook w:val="04A0"/>
      </w:tblPr>
      <w:tblGrid>
        <w:gridCol w:w="3028"/>
        <w:gridCol w:w="1305"/>
      </w:tblGrid>
      <w:tr w:rsidR="00C57497" w:rsidRPr="00C57497" w:rsidTr="00C57497">
        <w:trPr>
          <w:trHeight w:val="255"/>
        </w:trPr>
        <w:tc>
          <w:tcPr>
            <w:tcW w:w="0" w:type="auto"/>
            <w:gridSpan w:val="2"/>
            <w:tcBorders>
              <w:top w:val="single" w:sz="4" w:space="0" w:color="auto"/>
              <w:left w:val="single" w:sz="4" w:space="0" w:color="auto"/>
              <w:bottom w:val="nil"/>
              <w:right w:val="single" w:sz="4" w:space="0" w:color="000000"/>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b/>
                <w:bCs/>
                <w:color w:val="000000"/>
                <w:sz w:val="20"/>
                <w:szCs w:val="20"/>
              </w:rPr>
            </w:pPr>
            <w:r>
              <w:rPr>
                <w:rFonts w:ascii="Calibri" w:eastAsia="Times New Roman" w:hAnsi="Calibri" w:cs="Calibri"/>
                <w:b/>
                <w:bCs/>
                <w:color w:val="000000"/>
                <w:sz w:val="20"/>
                <w:szCs w:val="20"/>
              </w:rPr>
              <w:lastRenderedPageBreak/>
              <w:t xml:space="preserve">Post Acquisition </w:t>
            </w:r>
            <w:r w:rsidRPr="00C57497">
              <w:rPr>
                <w:rFonts w:ascii="Calibri" w:eastAsia="Times New Roman" w:hAnsi="Calibri" w:cs="Calibri"/>
                <w:b/>
                <w:bCs/>
                <w:color w:val="000000"/>
                <w:sz w:val="20"/>
                <w:szCs w:val="20"/>
              </w:rPr>
              <w:t>Share of Retained Earnings</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Retained Earnings Pre Acquisi</w:t>
            </w:r>
            <w:r>
              <w:rPr>
                <w:rFonts w:ascii="Calibri" w:eastAsia="Times New Roman" w:hAnsi="Calibri" w:cs="Calibri"/>
                <w:color w:val="000000"/>
                <w:sz w:val="20"/>
                <w:szCs w:val="20"/>
              </w:rPr>
              <w:t>ti</w:t>
            </w:r>
            <w:r w:rsidRPr="00C57497">
              <w:rPr>
                <w:rFonts w:ascii="Calibri" w:eastAsia="Times New Roman" w:hAnsi="Calibri" w:cs="Calibri"/>
                <w:color w:val="000000"/>
                <w:sz w:val="20"/>
                <w:szCs w:val="20"/>
              </w:rPr>
              <w:t>on</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1,050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Retained Earnings Post Acquisi</w:t>
            </w:r>
            <w:r>
              <w:rPr>
                <w:rFonts w:ascii="Calibri" w:eastAsia="Times New Roman" w:hAnsi="Calibri" w:cs="Calibri"/>
                <w:color w:val="000000"/>
                <w:sz w:val="20"/>
                <w:szCs w:val="20"/>
              </w:rPr>
              <w:t>ti</w:t>
            </w:r>
            <w:r w:rsidRPr="00C57497">
              <w:rPr>
                <w:rFonts w:ascii="Calibri" w:eastAsia="Times New Roman" w:hAnsi="Calibri" w:cs="Calibri"/>
                <w:color w:val="000000"/>
                <w:sz w:val="20"/>
                <w:szCs w:val="20"/>
              </w:rPr>
              <w:t>on</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2,250 </w:t>
            </w:r>
          </w:p>
        </w:tc>
      </w:tr>
      <w:tr w:rsidR="00C57497" w:rsidRPr="00C57497" w:rsidTr="00C57497">
        <w:trPr>
          <w:trHeight w:val="255"/>
        </w:trPr>
        <w:tc>
          <w:tcPr>
            <w:tcW w:w="0" w:type="auto"/>
            <w:tcBorders>
              <w:top w:val="nil"/>
              <w:left w:val="single" w:sz="4" w:space="0" w:color="auto"/>
              <w:bottom w:val="nil"/>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Change in RE</w:t>
            </w:r>
          </w:p>
        </w:tc>
        <w:tc>
          <w:tcPr>
            <w:tcW w:w="0" w:type="auto"/>
            <w:tcBorders>
              <w:top w:val="nil"/>
              <w:left w:val="nil"/>
              <w:bottom w:val="nil"/>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1,200 </w:t>
            </w:r>
          </w:p>
        </w:tc>
      </w:tr>
      <w:tr w:rsidR="00C57497" w:rsidRPr="00C57497" w:rsidTr="00C57497">
        <w:trPr>
          <w:trHeight w:val="255"/>
        </w:trPr>
        <w:tc>
          <w:tcPr>
            <w:tcW w:w="0" w:type="auto"/>
            <w:tcBorders>
              <w:top w:val="nil"/>
              <w:left w:val="single" w:sz="4" w:space="0" w:color="auto"/>
              <w:bottom w:val="single" w:sz="4" w:space="0" w:color="auto"/>
              <w:right w:val="nil"/>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Share of Parent</w:t>
            </w:r>
          </w:p>
        </w:tc>
        <w:tc>
          <w:tcPr>
            <w:tcW w:w="0" w:type="auto"/>
            <w:tcBorders>
              <w:top w:val="nil"/>
              <w:left w:val="nil"/>
              <w:bottom w:val="single" w:sz="4" w:space="0" w:color="auto"/>
              <w:right w:val="single" w:sz="4" w:space="0" w:color="auto"/>
            </w:tcBorders>
            <w:shd w:val="clear" w:color="auto" w:fill="auto"/>
            <w:noWrap/>
            <w:vAlign w:val="bottom"/>
            <w:hideMark/>
          </w:tcPr>
          <w:p w:rsidR="00C57497" w:rsidRPr="00C57497" w:rsidRDefault="00C57497" w:rsidP="00C57497">
            <w:pPr>
              <w:spacing w:after="0" w:line="240" w:lineRule="auto"/>
              <w:rPr>
                <w:rFonts w:ascii="Calibri" w:eastAsia="Times New Roman" w:hAnsi="Calibri" w:cs="Calibri"/>
                <w:color w:val="000000"/>
                <w:sz w:val="20"/>
                <w:szCs w:val="20"/>
              </w:rPr>
            </w:pPr>
            <w:r w:rsidRPr="00C57497">
              <w:rPr>
                <w:rFonts w:ascii="Calibri" w:eastAsia="Times New Roman" w:hAnsi="Calibri" w:cs="Calibri"/>
                <w:color w:val="000000"/>
                <w:sz w:val="20"/>
                <w:szCs w:val="20"/>
              </w:rPr>
              <w:t xml:space="preserve">                 900 </w:t>
            </w:r>
          </w:p>
        </w:tc>
      </w:tr>
    </w:tbl>
    <w:p w:rsidR="00153285" w:rsidRDefault="00153285">
      <w:pPr>
        <w:rPr>
          <w:b/>
        </w:rPr>
      </w:pPr>
    </w:p>
    <w:p w:rsidR="00153285" w:rsidRDefault="00153285" w:rsidP="00153285">
      <w:pPr>
        <w:rPr>
          <w:b/>
          <w:u w:val="single"/>
        </w:rPr>
      </w:pPr>
      <w:r>
        <w:rPr>
          <w:b/>
          <w:u w:val="single"/>
        </w:rPr>
        <w:t>Part B</w:t>
      </w:r>
    </w:p>
    <w:p w:rsidR="00673523" w:rsidRDefault="00673523" w:rsidP="00D07606">
      <w:pPr>
        <w:spacing w:line="360" w:lineRule="auto"/>
        <w:jc w:val="both"/>
      </w:pPr>
      <w:r w:rsidRPr="00673523">
        <w:t xml:space="preserve">According to accounting standards subsidiary </w:t>
      </w:r>
      <w:r>
        <w:t xml:space="preserve">is </w:t>
      </w:r>
      <w:r w:rsidRPr="00673523">
        <w:t xml:space="preserve">an entity over which the parent exerts </w:t>
      </w:r>
      <w:r>
        <w:t xml:space="preserve">significant </w:t>
      </w:r>
      <w:r w:rsidRPr="00673523">
        <w:t>control</w:t>
      </w:r>
      <w:r>
        <w:t xml:space="preserve">. Control in this context includes </w:t>
      </w:r>
      <w:r w:rsidRPr="00673523">
        <w:t xml:space="preserve">power to govern the financial and operating matters </w:t>
      </w:r>
      <w:r>
        <w:t xml:space="preserve">so as </w:t>
      </w:r>
      <w:r w:rsidRPr="00673523">
        <w:t xml:space="preserve">to obtain benefits </w:t>
      </w:r>
      <w:r w:rsidR="00D07606" w:rsidRPr="00673523">
        <w:t xml:space="preserve">from </w:t>
      </w:r>
      <w:r w:rsidR="00D07606">
        <w:t xml:space="preserve">an entities </w:t>
      </w:r>
      <w:r w:rsidR="00D07606" w:rsidRPr="00673523">
        <w:t>activity</w:t>
      </w:r>
      <w:r w:rsidR="00D07606">
        <w:t xml:space="preserve">. </w:t>
      </w:r>
      <w:r w:rsidR="00D07606" w:rsidRPr="00D07606">
        <w:t xml:space="preserve">Associate </w:t>
      </w:r>
      <w:r w:rsidR="00D07606">
        <w:t xml:space="preserve">on the other hand is </w:t>
      </w:r>
      <w:r w:rsidR="00D07606" w:rsidRPr="00D07606">
        <w:t xml:space="preserve">an entity where the parent can exert significant influence, but </w:t>
      </w:r>
      <w:r w:rsidR="00D07606">
        <w:t xml:space="preserve">does not have </w:t>
      </w:r>
      <w:r w:rsidR="00D07606" w:rsidRPr="00D07606">
        <w:t>control.</w:t>
      </w:r>
      <w:r w:rsidR="00D07606">
        <w:t xml:space="preserve"> In the given scenario Deer Ltd meets the definition of a subsidiary whereas Foal Ltd can be considered an associate. The distinction between the two is important as accounting treatment for both varies under the international accounting standards. </w:t>
      </w:r>
    </w:p>
    <w:p w:rsidR="005E4C77" w:rsidRDefault="00131F14" w:rsidP="00D07606">
      <w:pPr>
        <w:spacing w:line="360" w:lineRule="auto"/>
        <w:jc w:val="both"/>
      </w:pPr>
      <w:r>
        <w:t>For instance, accounting for associates is governed under IAS 28</w:t>
      </w:r>
      <w:r w:rsidR="00010C07">
        <w:t xml:space="preserve"> and IFRS 12</w:t>
      </w:r>
      <w:r>
        <w:t>; Investments</w:t>
      </w:r>
      <w:r w:rsidRPr="00131F14">
        <w:t xml:space="preserve"> in Associates</w:t>
      </w:r>
      <w:r w:rsidR="005E4C77">
        <w:t xml:space="preserve">. Under the said rules associate </w:t>
      </w:r>
      <w:r>
        <w:t>investments are accounted for using the</w:t>
      </w:r>
      <w:r w:rsidRPr="00131F14">
        <w:t xml:space="preserve"> equity method of accountin</w:t>
      </w:r>
      <w:r>
        <w:t xml:space="preserve">g. </w:t>
      </w:r>
      <w:r w:rsidR="00D70E4A">
        <w:t xml:space="preserve">Specifically, under the equity method </w:t>
      </w:r>
      <w:r w:rsidR="00D70E4A" w:rsidRPr="00D70E4A">
        <w:t xml:space="preserve">investment </w:t>
      </w:r>
      <w:r w:rsidR="00D70E4A">
        <w:t xml:space="preserve">in associate </w:t>
      </w:r>
      <w:r w:rsidR="00D70E4A" w:rsidRPr="00D70E4A">
        <w:t xml:space="preserve">is initially recorded at cost </w:t>
      </w:r>
      <w:r w:rsidR="005E4C77">
        <w:t xml:space="preserve">whereas subsequently the recorded value is </w:t>
      </w:r>
      <w:r w:rsidR="00D70E4A" w:rsidRPr="00D70E4A">
        <w:t>adjusted reflect</w:t>
      </w:r>
      <w:r w:rsidR="005E4C77">
        <w:t>ing</w:t>
      </w:r>
      <w:r w:rsidR="00D70E4A" w:rsidRPr="00D70E4A">
        <w:t xml:space="preserve"> the investor's share of the net </w:t>
      </w:r>
      <w:r w:rsidR="003A46E4">
        <w:t xml:space="preserve">profit or loss of the associate which in this case is Foal Ltd. </w:t>
      </w:r>
    </w:p>
    <w:p w:rsidR="003A46E4" w:rsidRDefault="00010C07" w:rsidP="00D07606">
      <w:pPr>
        <w:spacing w:line="360" w:lineRule="auto"/>
        <w:jc w:val="both"/>
      </w:pPr>
      <w:r>
        <w:t>Similarly</w:t>
      </w:r>
      <w:r w:rsidR="003A46E4">
        <w:t xml:space="preserve">, </w:t>
      </w:r>
      <w:r>
        <w:t>accounting</w:t>
      </w:r>
      <w:r w:rsidR="003A46E4">
        <w:t xml:space="preserve"> for subsidiaries is governed under IAS 27</w:t>
      </w:r>
      <w:r>
        <w:t xml:space="preserve"> and IFRS 10</w:t>
      </w:r>
      <w:r w:rsidR="003A46E4">
        <w:t xml:space="preserve"> which outlines scenarios where </w:t>
      </w:r>
      <w:r>
        <w:t>consolidated</w:t>
      </w:r>
      <w:r w:rsidR="003A46E4">
        <w:t xml:space="preserve"> financial statements must be prepared by the parent entity.  </w:t>
      </w:r>
      <w:r>
        <w:t xml:space="preserve">When accounts are consolidated all assets and liabilities for parent and subsidiary are combined whereas impact of intercompany balances and transactions are eliminated. </w:t>
      </w:r>
    </w:p>
    <w:p w:rsidR="003A46E4" w:rsidRPr="00673523" w:rsidRDefault="003A46E4" w:rsidP="00D07606">
      <w:pPr>
        <w:spacing w:line="360" w:lineRule="auto"/>
        <w:jc w:val="both"/>
      </w:pPr>
    </w:p>
    <w:p w:rsidR="00B906C4" w:rsidRDefault="00B906C4">
      <w:pPr>
        <w:rPr>
          <w:b/>
        </w:rPr>
      </w:pPr>
      <w:r>
        <w:rPr>
          <w:b/>
        </w:rPr>
        <w:br w:type="page"/>
      </w:r>
    </w:p>
    <w:p w:rsidR="008B7F8B" w:rsidRPr="00B906C4" w:rsidRDefault="008B7F8B" w:rsidP="008B7F8B">
      <w:pPr>
        <w:rPr>
          <w:b/>
          <w:u w:val="single"/>
        </w:rPr>
      </w:pPr>
      <w:r w:rsidRPr="00B906C4">
        <w:rPr>
          <w:b/>
          <w:u w:val="single"/>
        </w:rPr>
        <w:lastRenderedPageBreak/>
        <w:t xml:space="preserve">Question </w:t>
      </w:r>
      <w:r w:rsidR="00716D15" w:rsidRPr="00B906C4">
        <w:rPr>
          <w:b/>
          <w:u w:val="single"/>
        </w:rPr>
        <w:t>6</w:t>
      </w:r>
    </w:p>
    <w:p w:rsidR="0017385C" w:rsidRPr="0017385C" w:rsidRDefault="0017385C" w:rsidP="00594F0F">
      <w:pPr>
        <w:spacing w:line="360" w:lineRule="auto"/>
        <w:jc w:val="both"/>
        <w:rPr>
          <w:rFonts w:cstheme="minorHAnsi"/>
          <w:b/>
          <w:sz w:val="20"/>
          <w:szCs w:val="20"/>
          <w:u w:val="single"/>
        </w:rPr>
      </w:pPr>
      <w:r w:rsidRPr="0017385C">
        <w:rPr>
          <w:rFonts w:cstheme="minorHAnsi"/>
          <w:b/>
          <w:sz w:val="20"/>
          <w:szCs w:val="20"/>
          <w:u w:val="single"/>
        </w:rPr>
        <w:t>Part A</w:t>
      </w:r>
    </w:p>
    <w:p w:rsidR="00C547F4" w:rsidRPr="00716D15" w:rsidRDefault="00716D15" w:rsidP="00594F0F">
      <w:pPr>
        <w:spacing w:line="360" w:lineRule="auto"/>
        <w:jc w:val="both"/>
        <w:rPr>
          <w:rFonts w:cstheme="minorHAnsi"/>
          <w:sz w:val="20"/>
          <w:szCs w:val="20"/>
        </w:rPr>
      </w:pPr>
      <w:r w:rsidRPr="00716D15">
        <w:rPr>
          <w:rFonts w:cstheme="minorHAnsi"/>
          <w:sz w:val="20"/>
          <w:szCs w:val="20"/>
        </w:rPr>
        <w:t>A CSR, corporate social responsibility or sustainability report in simple terms is an annual report issued by companies and reflects their corporate social responsibility actions and results. Corporate social responsibility reporting over the recent years has been adopted by more and more business entities as a result of the potential benefits offered to reporting entities. Such benefits include;</w:t>
      </w:r>
    </w:p>
    <w:p w:rsidR="00716D15" w:rsidRPr="00716D15" w:rsidRDefault="00716D15" w:rsidP="00594F0F">
      <w:pPr>
        <w:numPr>
          <w:ilvl w:val="0"/>
          <w:numId w:val="4"/>
        </w:numPr>
        <w:shd w:val="clear" w:color="auto" w:fill="FFFFFF"/>
        <w:spacing w:before="100" w:beforeAutospacing="1" w:after="67" w:line="360" w:lineRule="auto"/>
        <w:jc w:val="both"/>
        <w:rPr>
          <w:rFonts w:eastAsia="Times New Roman" w:cstheme="minorHAnsi"/>
          <w:sz w:val="20"/>
          <w:szCs w:val="20"/>
        </w:rPr>
      </w:pPr>
      <w:r w:rsidRPr="00716D15">
        <w:rPr>
          <w:rFonts w:eastAsia="Times New Roman" w:cstheme="minorHAnsi"/>
          <w:sz w:val="20"/>
          <w:szCs w:val="20"/>
        </w:rPr>
        <w:t>Brand recognition</w:t>
      </w:r>
      <w:r>
        <w:rPr>
          <w:rFonts w:eastAsia="Times New Roman" w:cstheme="minorHAnsi"/>
          <w:sz w:val="20"/>
          <w:szCs w:val="20"/>
        </w:rPr>
        <w:t xml:space="preserve"> and </w:t>
      </w:r>
      <w:r w:rsidRPr="00716D15">
        <w:rPr>
          <w:rFonts w:eastAsia="Times New Roman" w:cstheme="minorHAnsi"/>
          <w:sz w:val="20"/>
          <w:szCs w:val="20"/>
        </w:rPr>
        <w:t>Enhanced business reputation</w:t>
      </w:r>
      <w:r>
        <w:rPr>
          <w:rFonts w:eastAsia="Times New Roman" w:cstheme="minorHAnsi"/>
          <w:sz w:val="20"/>
          <w:szCs w:val="20"/>
        </w:rPr>
        <w:t>: Specifically, c</w:t>
      </w:r>
      <w:r w:rsidRPr="00716D15">
        <w:rPr>
          <w:rFonts w:eastAsia="Times New Roman" w:cstheme="minorHAnsi"/>
          <w:sz w:val="20"/>
          <w:szCs w:val="20"/>
        </w:rPr>
        <w:t xml:space="preserve">orporate social investment </w:t>
      </w:r>
      <w:r>
        <w:rPr>
          <w:rFonts w:eastAsia="Times New Roman" w:cstheme="minorHAnsi"/>
          <w:sz w:val="20"/>
          <w:szCs w:val="20"/>
        </w:rPr>
        <w:t xml:space="preserve">and reporting allows a business to develop </w:t>
      </w:r>
      <w:r w:rsidRPr="00716D15">
        <w:rPr>
          <w:rFonts w:eastAsia="Times New Roman" w:cstheme="minorHAnsi"/>
          <w:sz w:val="20"/>
          <w:szCs w:val="20"/>
        </w:rPr>
        <w:t xml:space="preserve">reputation </w:t>
      </w:r>
      <w:r>
        <w:rPr>
          <w:rFonts w:eastAsia="Times New Roman" w:cstheme="minorHAnsi"/>
          <w:sz w:val="20"/>
          <w:szCs w:val="20"/>
        </w:rPr>
        <w:t xml:space="preserve">of a responsible business providing it with a potential </w:t>
      </w:r>
      <w:r w:rsidRPr="00716D15">
        <w:rPr>
          <w:rFonts w:eastAsia="Times New Roman" w:cstheme="minorHAnsi"/>
          <w:sz w:val="20"/>
          <w:szCs w:val="20"/>
        </w:rPr>
        <w:t>competitive advantage.</w:t>
      </w:r>
    </w:p>
    <w:p w:rsidR="00716D15" w:rsidRPr="00716D15" w:rsidRDefault="00716D15" w:rsidP="00594F0F">
      <w:pPr>
        <w:numPr>
          <w:ilvl w:val="0"/>
          <w:numId w:val="4"/>
        </w:numPr>
        <w:shd w:val="clear" w:color="auto" w:fill="FFFFFF"/>
        <w:spacing w:before="100" w:beforeAutospacing="1" w:after="67" w:line="360" w:lineRule="auto"/>
        <w:jc w:val="both"/>
        <w:rPr>
          <w:rFonts w:eastAsia="Times New Roman" w:cstheme="minorHAnsi"/>
          <w:sz w:val="20"/>
          <w:szCs w:val="20"/>
        </w:rPr>
      </w:pPr>
      <w:r w:rsidRPr="00716D15">
        <w:rPr>
          <w:rFonts w:eastAsia="Times New Roman" w:cstheme="minorHAnsi"/>
          <w:sz w:val="20"/>
          <w:szCs w:val="20"/>
        </w:rPr>
        <w:t>Increased sales and customer loyalty</w:t>
      </w:r>
      <w:r>
        <w:rPr>
          <w:rFonts w:eastAsia="Times New Roman" w:cstheme="minorHAnsi"/>
          <w:sz w:val="20"/>
          <w:szCs w:val="20"/>
        </w:rPr>
        <w:t xml:space="preserve">: In this context, there has been an increased focus of customers on working with companies and business with a responsible reputation. Hence, by reporting on activities which make a particular business socially responsible customer base can not only be retained but also enhanced. </w:t>
      </w:r>
    </w:p>
    <w:p w:rsidR="00716D15" w:rsidRPr="00716D15" w:rsidRDefault="00716D15" w:rsidP="00594F0F">
      <w:pPr>
        <w:numPr>
          <w:ilvl w:val="0"/>
          <w:numId w:val="4"/>
        </w:numPr>
        <w:shd w:val="clear" w:color="auto" w:fill="FFFFFF"/>
        <w:spacing w:before="100" w:beforeAutospacing="1" w:after="67" w:line="360" w:lineRule="auto"/>
        <w:jc w:val="both"/>
        <w:rPr>
          <w:rFonts w:eastAsia="Times New Roman" w:cstheme="minorHAnsi"/>
          <w:sz w:val="20"/>
          <w:szCs w:val="20"/>
        </w:rPr>
      </w:pPr>
      <w:r w:rsidRPr="00716D15">
        <w:rPr>
          <w:rFonts w:eastAsia="Times New Roman" w:cstheme="minorHAnsi"/>
          <w:sz w:val="20"/>
          <w:szCs w:val="20"/>
        </w:rPr>
        <w:t xml:space="preserve">Enhanced ability to attract and retain staff: Socially </w:t>
      </w:r>
      <w:r w:rsidR="00594F0F" w:rsidRPr="00716D15">
        <w:rPr>
          <w:rFonts w:eastAsia="Times New Roman" w:cstheme="minorHAnsi"/>
          <w:sz w:val="20"/>
          <w:szCs w:val="20"/>
        </w:rPr>
        <w:t>responsible</w:t>
      </w:r>
      <w:r w:rsidRPr="00716D15">
        <w:rPr>
          <w:rFonts w:eastAsia="Times New Roman" w:cstheme="minorHAnsi"/>
          <w:sz w:val="20"/>
          <w:szCs w:val="20"/>
        </w:rPr>
        <w:t xml:space="preserve"> </w:t>
      </w:r>
      <w:r w:rsidR="00594F0F" w:rsidRPr="00716D15">
        <w:rPr>
          <w:rFonts w:eastAsia="Times New Roman" w:cstheme="minorHAnsi"/>
          <w:sz w:val="20"/>
          <w:szCs w:val="20"/>
        </w:rPr>
        <w:t>companies</w:t>
      </w:r>
      <w:r w:rsidRPr="00716D15">
        <w:rPr>
          <w:rFonts w:eastAsia="Times New Roman" w:cstheme="minorHAnsi"/>
          <w:sz w:val="20"/>
          <w:szCs w:val="20"/>
        </w:rPr>
        <w:t xml:space="preserve"> may find it easier to </w:t>
      </w:r>
      <w:r w:rsidRPr="00594F0F">
        <w:rPr>
          <w:rFonts w:eastAsia="Times New Roman" w:cstheme="minorHAnsi"/>
          <w:sz w:val="20"/>
          <w:szCs w:val="20"/>
        </w:rPr>
        <w:t xml:space="preserve">recruit new employees while also having better retention </w:t>
      </w:r>
      <w:r w:rsidR="0017385C">
        <w:rPr>
          <w:rFonts w:eastAsia="Times New Roman" w:cstheme="minorHAnsi"/>
          <w:sz w:val="20"/>
          <w:szCs w:val="20"/>
        </w:rPr>
        <w:t>of existi</w:t>
      </w:r>
      <w:r w:rsidRPr="00594F0F">
        <w:rPr>
          <w:rFonts w:eastAsia="Times New Roman" w:cstheme="minorHAnsi"/>
          <w:sz w:val="20"/>
          <w:szCs w:val="20"/>
        </w:rPr>
        <w:t>ng employees</w:t>
      </w:r>
    </w:p>
    <w:p w:rsidR="00716D15" w:rsidRPr="00716D15" w:rsidRDefault="00716D15" w:rsidP="00594F0F">
      <w:pPr>
        <w:numPr>
          <w:ilvl w:val="0"/>
          <w:numId w:val="4"/>
        </w:numPr>
        <w:shd w:val="clear" w:color="auto" w:fill="FFFFFF"/>
        <w:spacing w:before="100" w:beforeAutospacing="1" w:after="67" w:line="360" w:lineRule="auto"/>
        <w:jc w:val="both"/>
        <w:rPr>
          <w:rFonts w:eastAsia="Times New Roman" w:cstheme="minorHAnsi"/>
          <w:sz w:val="20"/>
          <w:szCs w:val="20"/>
        </w:rPr>
      </w:pPr>
      <w:r w:rsidRPr="00716D15">
        <w:rPr>
          <w:rFonts w:eastAsia="Times New Roman" w:cstheme="minorHAnsi"/>
          <w:sz w:val="20"/>
          <w:szCs w:val="20"/>
        </w:rPr>
        <w:t>Organizational growth</w:t>
      </w:r>
      <w:r w:rsidR="00594F0F">
        <w:rPr>
          <w:rFonts w:eastAsia="Times New Roman" w:cstheme="minorHAnsi"/>
          <w:sz w:val="20"/>
          <w:szCs w:val="20"/>
        </w:rPr>
        <w:t xml:space="preserve"> and e</w:t>
      </w:r>
      <w:r w:rsidRPr="00716D15">
        <w:rPr>
          <w:rFonts w:eastAsia="Times New Roman" w:cstheme="minorHAnsi"/>
          <w:sz w:val="20"/>
          <w:szCs w:val="20"/>
        </w:rPr>
        <w:t>asier access to capital</w:t>
      </w:r>
      <w:r w:rsidR="00594F0F">
        <w:rPr>
          <w:rFonts w:eastAsia="Times New Roman" w:cstheme="minorHAnsi"/>
          <w:sz w:val="20"/>
          <w:szCs w:val="20"/>
        </w:rPr>
        <w:t xml:space="preserve">: Given increased focus on responsible business practices entities with responsible practices are more likely to have greater access to capital and funding which in turn will allow them to grow. </w:t>
      </w:r>
    </w:p>
    <w:p w:rsidR="0017385C" w:rsidRDefault="0017385C" w:rsidP="0017385C">
      <w:pPr>
        <w:spacing w:line="360" w:lineRule="auto"/>
        <w:jc w:val="both"/>
        <w:rPr>
          <w:rFonts w:cstheme="minorHAnsi"/>
          <w:b/>
          <w:sz w:val="20"/>
          <w:szCs w:val="20"/>
          <w:u w:val="single"/>
        </w:rPr>
      </w:pPr>
      <w:r>
        <w:rPr>
          <w:rFonts w:cstheme="minorHAnsi"/>
          <w:b/>
          <w:sz w:val="20"/>
          <w:szCs w:val="20"/>
          <w:u w:val="single"/>
        </w:rPr>
        <w:t>Part B</w:t>
      </w:r>
    </w:p>
    <w:p w:rsidR="00B8611B" w:rsidRDefault="00B8611B" w:rsidP="0017385C">
      <w:pPr>
        <w:spacing w:line="360" w:lineRule="auto"/>
        <w:jc w:val="both"/>
        <w:rPr>
          <w:rFonts w:cstheme="minorHAnsi"/>
          <w:sz w:val="20"/>
          <w:szCs w:val="20"/>
        </w:rPr>
      </w:pPr>
      <w:r w:rsidRPr="00B8611B">
        <w:rPr>
          <w:rFonts w:cstheme="minorHAnsi"/>
          <w:sz w:val="20"/>
          <w:szCs w:val="20"/>
        </w:rPr>
        <w:t xml:space="preserve">The primary purpose of an integrated report is to </w:t>
      </w:r>
      <w:r>
        <w:rPr>
          <w:rFonts w:cstheme="minorHAnsi"/>
          <w:sz w:val="20"/>
          <w:szCs w:val="20"/>
        </w:rPr>
        <w:t xml:space="preserve">provide financial capital providers with information on how an organization creates preserves and erodes its value over time. Integrated reporting therefore includes both financial </w:t>
      </w:r>
      <w:r w:rsidR="005E4C77">
        <w:rPr>
          <w:rFonts w:cstheme="minorHAnsi"/>
          <w:sz w:val="20"/>
          <w:szCs w:val="20"/>
        </w:rPr>
        <w:t xml:space="preserve">as well as non-financial information. Through this approach the framework attempts to </w:t>
      </w:r>
      <w:r>
        <w:rPr>
          <w:rFonts w:cstheme="minorHAnsi"/>
          <w:sz w:val="20"/>
          <w:szCs w:val="20"/>
        </w:rPr>
        <w:t xml:space="preserve">provide benefit to </w:t>
      </w:r>
      <w:r w:rsidR="005E4C77">
        <w:rPr>
          <w:rFonts w:cstheme="minorHAnsi"/>
          <w:sz w:val="20"/>
          <w:szCs w:val="20"/>
        </w:rPr>
        <w:t xml:space="preserve">a wide range of </w:t>
      </w:r>
      <w:r>
        <w:rPr>
          <w:rFonts w:cstheme="minorHAnsi"/>
          <w:sz w:val="20"/>
          <w:szCs w:val="20"/>
        </w:rPr>
        <w:t xml:space="preserve">stakeholders </w:t>
      </w:r>
      <w:r w:rsidR="005E4C77">
        <w:rPr>
          <w:rFonts w:cstheme="minorHAnsi"/>
          <w:sz w:val="20"/>
          <w:szCs w:val="20"/>
        </w:rPr>
        <w:t xml:space="preserve">such as </w:t>
      </w:r>
      <w:r w:rsidRPr="00B8611B">
        <w:rPr>
          <w:rFonts w:cstheme="minorHAnsi"/>
          <w:sz w:val="20"/>
          <w:szCs w:val="20"/>
        </w:rPr>
        <w:t>employees, customers, suppliers, partners, communities, legislators, regulators and policy-makers.</w:t>
      </w:r>
    </w:p>
    <w:p w:rsidR="00651EFC" w:rsidRPr="00651EFC" w:rsidRDefault="00651EFC" w:rsidP="0017385C">
      <w:pPr>
        <w:spacing w:line="360" w:lineRule="auto"/>
        <w:jc w:val="both"/>
        <w:rPr>
          <w:rFonts w:cstheme="minorHAnsi"/>
          <w:sz w:val="20"/>
          <w:szCs w:val="20"/>
        </w:rPr>
      </w:pPr>
      <w:r w:rsidRPr="00651EFC">
        <w:rPr>
          <w:rFonts w:cstheme="minorHAnsi"/>
          <w:sz w:val="20"/>
          <w:szCs w:val="20"/>
        </w:rPr>
        <w:t>Integrated reporting is based on three funda</w:t>
      </w:r>
      <w:r w:rsidR="00B8611B">
        <w:rPr>
          <w:rFonts w:cstheme="minorHAnsi"/>
          <w:sz w:val="20"/>
          <w:szCs w:val="20"/>
        </w:rPr>
        <w:t xml:space="preserve">mental underlying concepts; </w:t>
      </w:r>
    </w:p>
    <w:p w:rsidR="00651EFC" w:rsidRPr="00651EFC" w:rsidRDefault="00651EFC" w:rsidP="00651EFC">
      <w:pPr>
        <w:pStyle w:val="ListParagraph"/>
        <w:numPr>
          <w:ilvl w:val="0"/>
          <w:numId w:val="5"/>
        </w:numPr>
        <w:spacing w:line="360" w:lineRule="auto"/>
        <w:jc w:val="both"/>
        <w:rPr>
          <w:rFonts w:cstheme="minorHAnsi"/>
          <w:sz w:val="20"/>
          <w:szCs w:val="20"/>
        </w:rPr>
      </w:pPr>
      <w:r w:rsidRPr="00651EFC">
        <w:rPr>
          <w:rFonts w:cstheme="minorHAnsi"/>
          <w:sz w:val="20"/>
          <w:szCs w:val="20"/>
        </w:rPr>
        <w:t xml:space="preserve">Value creation, preservation and </w:t>
      </w:r>
      <w:r>
        <w:rPr>
          <w:rFonts w:cstheme="minorHAnsi"/>
          <w:sz w:val="20"/>
          <w:szCs w:val="20"/>
        </w:rPr>
        <w:t>depletion</w:t>
      </w:r>
      <w:r w:rsidRPr="00651EFC">
        <w:rPr>
          <w:rFonts w:cstheme="minorHAnsi"/>
          <w:sz w:val="20"/>
          <w:szCs w:val="20"/>
        </w:rPr>
        <w:t xml:space="preserve"> for </w:t>
      </w:r>
      <w:r>
        <w:rPr>
          <w:rFonts w:cstheme="minorHAnsi"/>
          <w:sz w:val="20"/>
          <w:szCs w:val="20"/>
        </w:rPr>
        <w:t xml:space="preserve">an </w:t>
      </w:r>
      <w:r w:rsidR="00D1349F">
        <w:rPr>
          <w:rFonts w:cstheme="minorHAnsi"/>
          <w:sz w:val="20"/>
          <w:szCs w:val="20"/>
        </w:rPr>
        <w:t xml:space="preserve">entity. </w:t>
      </w:r>
    </w:p>
    <w:p w:rsidR="00651EFC" w:rsidRPr="00651EFC" w:rsidRDefault="00651EFC" w:rsidP="00651EFC">
      <w:pPr>
        <w:pStyle w:val="ListParagraph"/>
        <w:numPr>
          <w:ilvl w:val="0"/>
          <w:numId w:val="5"/>
        </w:numPr>
        <w:spacing w:line="360" w:lineRule="auto"/>
        <w:jc w:val="both"/>
        <w:rPr>
          <w:rFonts w:cstheme="minorHAnsi"/>
          <w:sz w:val="20"/>
          <w:szCs w:val="20"/>
        </w:rPr>
      </w:pPr>
      <w:r w:rsidRPr="00651EFC">
        <w:rPr>
          <w:rFonts w:cstheme="minorHAnsi"/>
          <w:sz w:val="20"/>
          <w:szCs w:val="20"/>
        </w:rPr>
        <w:t>Process, through whic</w:t>
      </w:r>
      <w:r>
        <w:rPr>
          <w:rFonts w:cstheme="minorHAnsi"/>
          <w:sz w:val="20"/>
          <w:szCs w:val="20"/>
        </w:rPr>
        <w:t xml:space="preserve">h </w:t>
      </w:r>
      <w:r w:rsidR="00B8611B">
        <w:rPr>
          <w:rFonts w:cstheme="minorHAnsi"/>
          <w:sz w:val="20"/>
          <w:szCs w:val="20"/>
        </w:rPr>
        <w:t xml:space="preserve">said </w:t>
      </w:r>
      <w:r>
        <w:rPr>
          <w:rFonts w:cstheme="minorHAnsi"/>
          <w:sz w:val="20"/>
          <w:szCs w:val="20"/>
        </w:rPr>
        <w:t>value is created, preserved and</w:t>
      </w:r>
      <w:r w:rsidRPr="00651EFC">
        <w:rPr>
          <w:rFonts w:cstheme="minorHAnsi"/>
          <w:sz w:val="20"/>
          <w:szCs w:val="20"/>
        </w:rPr>
        <w:t xml:space="preserve"> </w:t>
      </w:r>
      <w:r>
        <w:rPr>
          <w:rFonts w:cstheme="minorHAnsi"/>
          <w:sz w:val="20"/>
          <w:szCs w:val="20"/>
        </w:rPr>
        <w:t>depleted.</w:t>
      </w:r>
    </w:p>
    <w:p w:rsidR="00651EFC" w:rsidRDefault="00651EFC" w:rsidP="00651EFC">
      <w:pPr>
        <w:pStyle w:val="ListParagraph"/>
        <w:numPr>
          <w:ilvl w:val="0"/>
          <w:numId w:val="5"/>
        </w:numPr>
        <w:spacing w:line="360" w:lineRule="auto"/>
        <w:jc w:val="both"/>
        <w:rPr>
          <w:rFonts w:cstheme="minorHAnsi"/>
          <w:sz w:val="20"/>
          <w:szCs w:val="20"/>
        </w:rPr>
      </w:pPr>
      <w:r>
        <w:rPr>
          <w:rFonts w:cstheme="minorHAnsi"/>
          <w:sz w:val="20"/>
          <w:szCs w:val="20"/>
        </w:rPr>
        <w:t>C</w:t>
      </w:r>
      <w:r w:rsidRPr="00651EFC">
        <w:rPr>
          <w:rFonts w:cstheme="minorHAnsi"/>
          <w:sz w:val="20"/>
          <w:szCs w:val="20"/>
        </w:rPr>
        <w:t>apitals</w:t>
      </w:r>
      <w:r w:rsidR="00B8611B">
        <w:rPr>
          <w:rFonts w:cstheme="minorHAnsi"/>
          <w:sz w:val="20"/>
          <w:szCs w:val="20"/>
        </w:rPr>
        <w:t xml:space="preserve">. </w:t>
      </w:r>
    </w:p>
    <w:p w:rsidR="00B8611B" w:rsidRDefault="00B8611B" w:rsidP="00B8611B">
      <w:pPr>
        <w:spacing w:line="360" w:lineRule="auto"/>
        <w:jc w:val="both"/>
        <w:rPr>
          <w:rFonts w:cstheme="minorHAnsi"/>
          <w:sz w:val="20"/>
          <w:szCs w:val="20"/>
        </w:rPr>
      </w:pPr>
      <w:r>
        <w:rPr>
          <w:rFonts w:cstheme="minorHAnsi"/>
          <w:sz w:val="20"/>
          <w:szCs w:val="20"/>
        </w:rPr>
        <w:t xml:space="preserve">Capitals indentified under the integrated reporting framework include </w:t>
      </w:r>
    </w:p>
    <w:p w:rsidR="00B8611B" w:rsidRP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t>Financial Capital</w:t>
      </w:r>
      <w:r>
        <w:rPr>
          <w:rFonts w:cstheme="minorHAnsi"/>
          <w:sz w:val="20"/>
          <w:szCs w:val="20"/>
        </w:rPr>
        <w:t>;</w:t>
      </w:r>
      <w:r w:rsidRPr="00B8611B">
        <w:rPr>
          <w:rFonts w:cstheme="minorHAnsi"/>
          <w:sz w:val="20"/>
          <w:szCs w:val="20"/>
        </w:rPr>
        <w:t xml:space="preserve"> </w:t>
      </w:r>
    </w:p>
    <w:p w:rsidR="00B8611B" w:rsidRP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lastRenderedPageBreak/>
        <w:t>Manufactured Capital</w:t>
      </w:r>
      <w:r>
        <w:rPr>
          <w:rFonts w:cstheme="minorHAnsi"/>
          <w:sz w:val="20"/>
          <w:szCs w:val="20"/>
        </w:rPr>
        <w:t>;</w:t>
      </w:r>
    </w:p>
    <w:p w:rsidR="00B8611B" w:rsidRP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t>Intellectual Capital</w:t>
      </w:r>
      <w:r>
        <w:rPr>
          <w:rFonts w:cstheme="minorHAnsi"/>
          <w:sz w:val="20"/>
          <w:szCs w:val="20"/>
        </w:rPr>
        <w:t>;</w:t>
      </w:r>
    </w:p>
    <w:p w:rsidR="00B8611B" w:rsidRP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t>Social and responsible capital</w:t>
      </w:r>
      <w:r>
        <w:rPr>
          <w:rFonts w:cstheme="minorHAnsi"/>
          <w:sz w:val="20"/>
          <w:szCs w:val="20"/>
        </w:rPr>
        <w:t>;</w:t>
      </w:r>
    </w:p>
    <w:p w:rsidR="00B8611B" w:rsidRP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t xml:space="preserve">Human capital; and </w:t>
      </w:r>
    </w:p>
    <w:p w:rsidR="00B8611B" w:rsidRDefault="00B8611B" w:rsidP="00B8611B">
      <w:pPr>
        <w:pStyle w:val="ListParagraph"/>
        <w:numPr>
          <w:ilvl w:val="0"/>
          <w:numId w:val="6"/>
        </w:numPr>
        <w:spacing w:line="360" w:lineRule="auto"/>
        <w:jc w:val="both"/>
        <w:rPr>
          <w:rFonts w:cstheme="minorHAnsi"/>
          <w:sz w:val="20"/>
          <w:szCs w:val="20"/>
        </w:rPr>
      </w:pPr>
      <w:r w:rsidRPr="00B8611B">
        <w:rPr>
          <w:rFonts w:cstheme="minorHAnsi"/>
          <w:sz w:val="20"/>
          <w:szCs w:val="20"/>
        </w:rPr>
        <w:t>Natural</w:t>
      </w:r>
      <w:r>
        <w:rPr>
          <w:rFonts w:cstheme="minorHAnsi"/>
          <w:sz w:val="20"/>
          <w:szCs w:val="20"/>
        </w:rPr>
        <w:t xml:space="preserve"> capital. </w:t>
      </w:r>
    </w:p>
    <w:p w:rsidR="00A765CD" w:rsidRDefault="00DF3ACA" w:rsidP="00B8611B">
      <w:pPr>
        <w:spacing w:line="360" w:lineRule="auto"/>
        <w:jc w:val="both"/>
        <w:rPr>
          <w:rFonts w:cstheme="minorHAnsi"/>
          <w:sz w:val="20"/>
          <w:szCs w:val="20"/>
        </w:rPr>
      </w:pPr>
      <w:r>
        <w:rPr>
          <w:rFonts w:cstheme="minorHAnsi"/>
          <w:sz w:val="20"/>
          <w:szCs w:val="20"/>
        </w:rPr>
        <w:t>Although, i</w:t>
      </w:r>
      <w:r w:rsidRPr="00DF3ACA">
        <w:rPr>
          <w:rFonts w:cstheme="minorHAnsi"/>
          <w:sz w:val="20"/>
          <w:szCs w:val="20"/>
        </w:rPr>
        <w:t>ntegrated reporting</w:t>
      </w:r>
      <w:r>
        <w:rPr>
          <w:rFonts w:cstheme="minorHAnsi"/>
          <w:sz w:val="20"/>
          <w:szCs w:val="20"/>
        </w:rPr>
        <w:t xml:space="preserve"> aims to </w:t>
      </w:r>
      <w:r w:rsidRPr="00DF3ACA">
        <w:rPr>
          <w:rFonts w:cstheme="minorHAnsi"/>
          <w:sz w:val="20"/>
          <w:szCs w:val="20"/>
        </w:rPr>
        <w:t xml:space="preserve">overcome the </w:t>
      </w:r>
      <w:r>
        <w:rPr>
          <w:rFonts w:cstheme="minorHAnsi"/>
          <w:sz w:val="20"/>
          <w:szCs w:val="20"/>
        </w:rPr>
        <w:t xml:space="preserve">address the criticisms leveled on </w:t>
      </w:r>
      <w:r w:rsidRPr="00DF3ACA">
        <w:rPr>
          <w:rFonts w:cstheme="minorHAnsi"/>
          <w:sz w:val="20"/>
          <w:szCs w:val="20"/>
        </w:rPr>
        <w:t>financial and sustainab</w:t>
      </w:r>
      <w:r>
        <w:rPr>
          <w:rFonts w:cstheme="minorHAnsi"/>
          <w:sz w:val="20"/>
          <w:szCs w:val="20"/>
        </w:rPr>
        <w:t xml:space="preserve">ility reporting but has itself been subject to criticism. Such criticism has primarily been related to </w:t>
      </w:r>
      <w:r w:rsidRPr="00DF3ACA">
        <w:rPr>
          <w:rFonts w:cstheme="minorHAnsi"/>
          <w:sz w:val="20"/>
          <w:szCs w:val="20"/>
        </w:rPr>
        <w:t xml:space="preserve">fundamental concepts and guiding principles of the integrated reporting framework </w:t>
      </w:r>
      <w:r>
        <w:rPr>
          <w:rFonts w:cstheme="minorHAnsi"/>
          <w:sz w:val="20"/>
          <w:szCs w:val="20"/>
        </w:rPr>
        <w:t xml:space="preserve">along with the </w:t>
      </w:r>
      <w:r w:rsidRPr="00DF3ACA">
        <w:rPr>
          <w:rFonts w:cstheme="minorHAnsi"/>
          <w:sz w:val="20"/>
          <w:szCs w:val="20"/>
        </w:rPr>
        <w:t>International Integrated Reporting Council itself</w:t>
      </w:r>
      <w:r>
        <w:rPr>
          <w:rFonts w:cstheme="minorHAnsi"/>
          <w:sz w:val="20"/>
          <w:szCs w:val="20"/>
        </w:rPr>
        <w:t xml:space="preserve">. </w:t>
      </w:r>
    </w:p>
    <w:p w:rsidR="00A765CD" w:rsidRDefault="00A765CD">
      <w:pPr>
        <w:rPr>
          <w:rFonts w:cstheme="minorHAnsi"/>
          <w:sz w:val="20"/>
          <w:szCs w:val="20"/>
        </w:rPr>
      </w:pPr>
      <w:r>
        <w:rPr>
          <w:rFonts w:cstheme="minorHAnsi"/>
          <w:sz w:val="20"/>
          <w:szCs w:val="20"/>
        </w:rPr>
        <w:br w:type="page"/>
      </w:r>
    </w:p>
    <w:p w:rsidR="00B8611B" w:rsidRDefault="00A765CD" w:rsidP="00B8611B">
      <w:pPr>
        <w:spacing w:line="360" w:lineRule="auto"/>
        <w:jc w:val="both"/>
        <w:rPr>
          <w:rFonts w:cstheme="minorHAnsi"/>
          <w:sz w:val="20"/>
          <w:szCs w:val="20"/>
        </w:rPr>
      </w:pPr>
      <w:r>
        <w:rPr>
          <w:rFonts w:cstheme="minorHAnsi"/>
          <w:sz w:val="20"/>
          <w:szCs w:val="20"/>
        </w:rPr>
        <w:lastRenderedPageBreak/>
        <w:t xml:space="preserve">References: </w:t>
      </w:r>
    </w:p>
    <w:p w:rsidR="00A765CD" w:rsidRDefault="001A0FD3" w:rsidP="00B8611B">
      <w:pPr>
        <w:spacing w:line="360" w:lineRule="auto"/>
        <w:jc w:val="both"/>
        <w:rPr>
          <w:rFonts w:cstheme="minorHAnsi"/>
          <w:sz w:val="20"/>
          <w:szCs w:val="20"/>
        </w:rPr>
      </w:pPr>
      <w:hyperlink r:id="rId7" w:history="1">
        <w:r w:rsidR="00A765CD" w:rsidRPr="00D80541">
          <w:rPr>
            <w:rStyle w:val="Hyperlink"/>
            <w:rFonts w:cstheme="minorHAnsi"/>
            <w:sz w:val="20"/>
            <w:szCs w:val="20"/>
          </w:rPr>
          <w:t>https://www.iasplus.com/en/standards/ias/ias36</w:t>
        </w:r>
      </w:hyperlink>
    </w:p>
    <w:p w:rsidR="00A765CD" w:rsidRDefault="001A0FD3" w:rsidP="00B8611B">
      <w:pPr>
        <w:spacing w:line="360" w:lineRule="auto"/>
        <w:jc w:val="both"/>
        <w:rPr>
          <w:rFonts w:cstheme="minorHAnsi"/>
          <w:sz w:val="20"/>
          <w:szCs w:val="20"/>
        </w:rPr>
      </w:pPr>
      <w:hyperlink r:id="rId8" w:anchor=":~:text=Definition%20of%20Reducing%20balance%20method,for%20in%20the%20previous%20year" w:history="1">
        <w:r w:rsidR="00A765CD" w:rsidRPr="00D80541">
          <w:rPr>
            <w:rStyle w:val="Hyperlink"/>
            <w:rFonts w:cstheme="minorHAnsi"/>
            <w:sz w:val="20"/>
            <w:szCs w:val="20"/>
          </w:rPr>
          <w:t>https://learn.financestrategists.com/explanation/depreciation-and-disposal-of-fixed-assets/reducing-balance-method/#:~:text=Definition%20of%20Reducing%20balance%20method,for%20in%20the%20previous%20year</w:t>
        </w:r>
      </w:hyperlink>
      <w:r w:rsidR="00A765CD" w:rsidRPr="00A765CD">
        <w:rPr>
          <w:rFonts w:cstheme="minorHAnsi"/>
          <w:sz w:val="20"/>
          <w:szCs w:val="20"/>
        </w:rPr>
        <w:t>.</w:t>
      </w:r>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9" w:history="1">
        <w:r w:rsidR="00A765CD" w:rsidRPr="00D80541">
          <w:rPr>
            <w:rStyle w:val="Hyperlink"/>
            <w:rFonts w:cstheme="minorHAnsi"/>
            <w:sz w:val="20"/>
            <w:szCs w:val="20"/>
          </w:rPr>
          <w:t>https://www.investopedia.com/terms/e/extraordinary-repairs.asp</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0" w:history="1">
        <w:r w:rsidR="00A765CD" w:rsidRPr="00D80541">
          <w:rPr>
            <w:rStyle w:val="Hyperlink"/>
            <w:rFonts w:cstheme="minorHAnsi"/>
            <w:sz w:val="20"/>
            <w:szCs w:val="20"/>
          </w:rPr>
          <w:t>https://www.ifrs.org/content/dam/ifrs/project/conceptual-framework/fact-sheet-project-summary-and-feedback-statement/conceptual-framework-project-summary.pdf</w:t>
        </w:r>
      </w:hyperlink>
    </w:p>
    <w:p w:rsidR="00A765CD" w:rsidRDefault="001A0FD3" w:rsidP="00B8611B">
      <w:pPr>
        <w:spacing w:line="360" w:lineRule="auto"/>
        <w:jc w:val="both"/>
        <w:rPr>
          <w:rFonts w:cstheme="minorHAnsi"/>
          <w:sz w:val="20"/>
          <w:szCs w:val="20"/>
        </w:rPr>
      </w:pPr>
      <w:hyperlink r:id="rId11" w:history="1">
        <w:r w:rsidR="00A765CD" w:rsidRPr="00D80541">
          <w:rPr>
            <w:rStyle w:val="Hyperlink"/>
            <w:rFonts w:cstheme="minorHAnsi"/>
            <w:sz w:val="20"/>
            <w:szCs w:val="20"/>
          </w:rPr>
          <w:t>https://youmatter.world/en/definition/definitions-csr-report-important-examples/</w:t>
        </w:r>
      </w:hyperlink>
    </w:p>
    <w:p w:rsidR="00A765CD" w:rsidRDefault="001A0FD3" w:rsidP="00B8611B">
      <w:pPr>
        <w:spacing w:line="360" w:lineRule="auto"/>
        <w:jc w:val="both"/>
        <w:rPr>
          <w:rFonts w:cstheme="minorHAnsi"/>
          <w:sz w:val="20"/>
          <w:szCs w:val="20"/>
        </w:rPr>
      </w:pPr>
      <w:hyperlink r:id="rId12" w:history="1">
        <w:r w:rsidR="00A765CD" w:rsidRPr="00D80541">
          <w:rPr>
            <w:rStyle w:val="Hyperlink"/>
            <w:rFonts w:cstheme="minorHAnsi"/>
            <w:sz w:val="20"/>
            <w:szCs w:val="20"/>
          </w:rPr>
          <w:t>https://www.nibusinessinfo.co.uk/content/business-benefits-corporate-social-responsibility</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3" w:history="1">
        <w:r w:rsidR="00A765CD" w:rsidRPr="00D80541">
          <w:rPr>
            <w:rStyle w:val="Hyperlink"/>
            <w:rFonts w:cstheme="minorHAnsi"/>
            <w:sz w:val="20"/>
            <w:szCs w:val="20"/>
          </w:rPr>
          <w:t>https://integratedreporting.org/wp-content/uploads/2013/03/IR-Background-Paper-Capitals.pdf</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4" w:history="1">
        <w:r w:rsidR="00A765CD" w:rsidRPr="00D80541">
          <w:rPr>
            <w:rStyle w:val="Hyperlink"/>
            <w:rFonts w:cstheme="minorHAnsi"/>
            <w:sz w:val="20"/>
            <w:szCs w:val="20"/>
          </w:rPr>
          <w:t>https://www.iasplus.com/en/resources/sustainability/iirc</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5" w:history="1">
        <w:r w:rsidR="00A765CD" w:rsidRPr="00D80541">
          <w:rPr>
            <w:rStyle w:val="Hyperlink"/>
            <w:rFonts w:cstheme="minorHAnsi"/>
            <w:sz w:val="20"/>
            <w:szCs w:val="20"/>
          </w:rPr>
          <w:t>https://www.researchgate.net/publication/327057262_What's_wrong_with_integrated_reporting_A_systematic_review</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6" w:history="1">
        <w:r w:rsidR="00A765CD" w:rsidRPr="00D80541">
          <w:rPr>
            <w:rStyle w:val="Hyperlink"/>
            <w:rFonts w:cstheme="minorHAnsi"/>
            <w:sz w:val="20"/>
            <w:szCs w:val="20"/>
          </w:rPr>
          <w:t>https://www.accaglobal.com/gb/en/student/exam-support-resources/fundamentals-exams-study-resources/f3/technical-articles/group-statement.html</w:t>
        </w:r>
      </w:hyperlink>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7" w:anchor=":~:text=Key%20Difference%20%E2%80%93%20Subsidiary%20vs%20Associate&amp;text=The%20company%20that%20holds%20an,minority%20position%20in%20an%20associate" w:history="1">
        <w:r w:rsidR="00A765CD" w:rsidRPr="00D80541">
          <w:rPr>
            <w:rStyle w:val="Hyperlink"/>
            <w:rFonts w:cstheme="minorHAnsi"/>
            <w:sz w:val="20"/>
            <w:szCs w:val="20"/>
          </w:rPr>
          <w:t>https://www.differencebetween.com/difference-between-subsidiary-and-vs-associate/#:~:text=Key%20Difference%20%E2%80%93%20Subsidiary%20vs%20Associate&amp;text=The%20company%20that%20holds%20an,minority%20position%20in%20an%20associate</w:t>
        </w:r>
      </w:hyperlink>
      <w:r w:rsidR="00A765CD" w:rsidRPr="00A765CD">
        <w:rPr>
          <w:rFonts w:cstheme="minorHAnsi"/>
          <w:sz w:val="20"/>
          <w:szCs w:val="20"/>
        </w:rPr>
        <w:t>.</w:t>
      </w:r>
      <w:r w:rsidR="00A765CD">
        <w:rPr>
          <w:rFonts w:cstheme="minorHAnsi"/>
          <w:sz w:val="20"/>
          <w:szCs w:val="20"/>
        </w:rPr>
        <w:t xml:space="preserve"> </w:t>
      </w:r>
    </w:p>
    <w:p w:rsidR="00A765CD" w:rsidRDefault="001A0FD3" w:rsidP="00B8611B">
      <w:pPr>
        <w:spacing w:line="360" w:lineRule="auto"/>
        <w:jc w:val="both"/>
        <w:rPr>
          <w:rFonts w:cstheme="minorHAnsi"/>
          <w:sz w:val="20"/>
          <w:szCs w:val="20"/>
        </w:rPr>
      </w:pPr>
      <w:hyperlink r:id="rId18" w:history="1">
        <w:r w:rsidR="00A765CD" w:rsidRPr="00D80541">
          <w:rPr>
            <w:rStyle w:val="Hyperlink"/>
            <w:rFonts w:cstheme="minorHAnsi"/>
            <w:sz w:val="20"/>
            <w:szCs w:val="20"/>
          </w:rPr>
          <w:t>https://www.iasplus.com/en/standards/ias/ias28</w:t>
        </w:r>
      </w:hyperlink>
      <w:r w:rsidR="00A765CD">
        <w:rPr>
          <w:rFonts w:cstheme="minorHAnsi"/>
          <w:sz w:val="20"/>
          <w:szCs w:val="20"/>
        </w:rPr>
        <w:t xml:space="preserve"> </w:t>
      </w:r>
    </w:p>
    <w:p w:rsidR="00716D15" w:rsidRDefault="001A0FD3" w:rsidP="00716D15">
      <w:pPr>
        <w:spacing w:before="240" w:line="360" w:lineRule="auto"/>
        <w:jc w:val="both"/>
        <w:rPr>
          <w:rFonts w:cstheme="minorHAnsi"/>
          <w:sz w:val="20"/>
          <w:szCs w:val="20"/>
        </w:rPr>
      </w:pPr>
      <w:hyperlink r:id="rId19" w:history="1">
        <w:r w:rsidR="00A765CD" w:rsidRPr="00D80541">
          <w:rPr>
            <w:rStyle w:val="Hyperlink"/>
            <w:rFonts w:cstheme="minorHAnsi"/>
            <w:sz w:val="20"/>
            <w:szCs w:val="20"/>
          </w:rPr>
          <w:t>https://www.iasplus.com/en/standards/ias/ias27</w:t>
        </w:r>
      </w:hyperlink>
      <w:r w:rsidR="00A765CD">
        <w:rPr>
          <w:rFonts w:cstheme="minorHAnsi"/>
          <w:sz w:val="20"/>
          <w:szCs w:val="20"/>
        </w:rPr>
        <w:t xml:space="preserve"> </w:t>
      </w:r>
    </w:p>
    <w:p w:rsidR="00A765CD" w:rsidRDefault="00A765CD" w:rsidP="00716D15">
      <w:pPr>
        <w:spacing w:before="240" w:line="360" w:lineRule="auto"/>
        <w:jc w:val="both"/>
        <w:rPr>
          <w:rFonts w:cstheme="minorHAnsi"/>
          <w:sz w:val="20"/>
          <w:szCs w:val="20"/>
        </w:rPr>
      </w:pPr>
    </w:p>
    <w:p w:rsidR="00716D15" w:rsidRPr="00C547F4" w:rsidRDefault="00716D15" w:rsidP="00C547F4">
      <w:pPr>
        <w:spacing w:line="360" w:lineRule="auto"/>
        <w:jc w:val="both"/>
        <w:rPr>
          <w:rFonts w:cstheme="minorHAnsi"/>
          <w:sz w:val="20"/>
          <w:szCs w:val="20"/>
        </w:rPr>
      </w:pPr>
    </w:p>
    <w:sectPr w:rsidR="00716D15" w:rsidRPr="00C547F4" w:rsidSect="00F503EC">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02D" w:rsidRDefault="005E402D" w:rsidP="00B906C4">
      <w:pPr>
        <w:spacing w:after="0" w:line="240" w:lineRule="auto"/>
      </w:pPr>
      <w:r>
        <w:separator/>
      </w:r>
    </w:p>
  </w:endnote>
  <w:endnote w:type="continuationSeparator" w:id="1">
    <w:p w:rsidR="005E402D" w:rsidRDefault="005E402D" w:rsidP="00B906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DD21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0798655"/>
      <w:docPartObj>
        <w:docPartGallery w:val="Page Numbers (Bottom of Page)"/>
        <w:docPartUnique/>
      </w:docPartObj>
    </w:sdtPr>
    <w:sdtContent>
      <w:p w:rsidR="00DD21CC" w:rsidRDefault="00DD21CC" w:rsidP="00B906C4">
        <w:pPr>
          <w:pStyle w:val="Footer"/>
          <w:pBdr>
            <w:top w:val="single" w:sz="4" w:space="1" w:color="auto"/>
          </w:pBdr>
          <w:jc w:val="right"/>
        </w:pPr>
        <w:fldSimple w:instr=" PAGE   \* MERGEFORMAT ">
          <w:r w:rsidR="005E4C77">
            <w:rPr>
              <w:noProof/>
            </w:rPr>
            <w:t>7</w:t>
          </w:r>
        </w:fldSimple>
      </w:p>
    </w:sdtContent>
  </w:sdt>
  <w:p w:rsidR="00DD21CC" w:rsidRDefault="00DD21C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DD21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02D" w:rsidRDefault="005E402D" w:rsidP="00B906C4">
      <w:pPr>
        <w:spacing w:after="0" w:line="240" w:lineRule="auto"/>
      </w:pPr>
      <w:r>
        <w:separator/>
      </w:r>
    </w:p>
  </w:footnote>
  <w:footnote w:type="continuationSeparator" w:id="1">
    <w:p w:rsidR="005E402D" w:rsidRDefault="005E402D" w:rsidP="00B906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DD21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Pr="00B906C4" w:rsidRDefault="00DD21CC" w:rsidP="00B906C4">
    <w:pPr>
      <w:pStyle w:val="Header"/>
      <w:pBdr>
        <w:bottom w:val="single" w:sz="4" w:space="1" w:color="auto"/>
      </w:pBdr>
      <w:rPr>
        <w:b/>
      </w:rPr>
    </w:pPr>
    <w:r>
      <w:rPr>
        <w:b/>
      </w:rPr>
      <w:t xml:space="preserve">HIH 77338 Solution </w:t>
    </w:r>
    <w:r w:rsidRPr="00B906C4">
      <w:rPr>
        <w:b/>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1CC" w:rsidRDefault="00DD21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06689"/>
    <w:multiLevelType w:val="hybridMultilevel"/>
    <w:tmpl w:val="B152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435453"/>
    <w:multiLevelType w:val="multilevel"/>
    <w:tmpl w:val="67DCE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8463C6C"/>
    <w:multiLevelType w:val="hybridMultilevel"/>
    <w:tmpl w:val="93549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B96AB3"/>
    <w:multiLevelType w:val="hybridMultilevel"/>
    <w:tmpl w:val="521C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EE1856"/>
    <w:multiLevelType w:val="multilevel"/>
    <w:tmpl w:val="B522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D2ACC7"/>
    <w:multiLevelType w:val="hybridMultilevel"/>
    <w:tmpl w:val="1024D8F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50733E0"/>
    <w:multiLevelType w:val="hybridMultilevel"/>
    <w:tmpl w:val="9598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28336B"/>
    <w:multiLevelType w:val="hybridMultilevel"/>
    <w:tmpl w:val="33D4C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1"/>
  </w:num>
  <w:num w:numId="5">
    <w:abstractNumId w:val="6"/>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221E9C"/>
    <w:rsid w:val="00010C07"/>
    <w:rsid w:val="000976AF"/>
    <w:rsid w:val="000C09DD"/>
    <w:rsid w:val="0011019F"/>
    <w:rsid w:val="00131F14"/>
    <w:rsid w:val="00153285"/>
    <w:rsid w:val="0017385C"/>
    <w:rsid w:val="001A0FD3"/>
    <w:rsid w:val="00221E9C"/>
    <w:rsid w:val="002F2A27"/>
    <w:rsid w:val="003A46E4"/>
    <w:rsid w:val="00411CBC"/>
    <w:rsid w:val="004924D8"/>
    <w:rsid w:val="004C6641"/>
    <w:rsid w:val="004E24FE"/>
    <w:rsid w:val="00555B34"/>
    <w:rsid w:val="00594F0F"/>
    <w:rsid w:val="005E402D"/>
    <w:rsid w:val="005E4C77"/>
    <w:rsid w:val="006465BA"/>
    <w:rsid w:val="00651EFC"/>
    <w:rsid w:val="00673523"/>
    <w:rsid w:val="00716D15"/>
    <w:rsid w:val="008415F1"/>
    <w:rsid w:val="008A2F42"/>
    <w:rsid w:val="008B1C6F"/>
    <w:rsid w:val="008B7F8B"/>
    <w:rsid w:val="00987C54"/>
    <w:rsid w:val="00A047E9"/>
    <w:rsid w:val="00A765CD"/>
    <w:rsid w:val="00A76E95"/>
    <w:rsid w:val="00B8611B"/>
    <w:rsid w:val="00B906C4"/>
    <w:rsid w:val="00BB6525"/>
    <w:rsid w:val="00BE02AF"/>
    <w:rsid w:val="00C547F4"/>
    <w:rsid w:val="00C57497"/>
    <w:rsid w:val="00C6015D"/>
    <w:rsid w:val="00CE4503"/>
    <w:rsid w:val="00CF331D"/>
    <w:rsid w:val="00D038F8"/>
    <w:rsid w:val="00D07606"/>
    <w:rsid w:val="00D1349F"/>
    <w:rsid w:val="00D70E4A"/>
    <w:rsid w:val="00DD0A94"/>
    <w:rsid w:val="00DD21CC"/>
    <w:rsid w:val="00DF3ACA"/>
    <w:rsid w:val="00E21A4C"/>
    <w:rsid w:val="00E56273"/>
    <w:rsid w:val="00EF6CD3"/>
    <w:rsid w:val="00F038EA"/>
    <w:rsid w:val="00F503EC"/>
    <w:rsid w:val="00F801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3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E9C"/>
    <w:pPr>
      <w:ind w:left="720"/>
      <w:contextualSpacing/>
    </w:pPr>
  </w:style>
  <w:style w:type="paragraph" w:customStyle="1" w:styleId="Default">
    <w:name w:val="Default"/>
    <w:rsid w:val="00555B34"/>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B906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906C4"/>
  </w:style>
  <w:style w:type="paragraph" w:styleId="Footer">
    <w:name w:val="footer"/>
    <w:basedOn w:val="Normal"/>
    <w:link w:val="FooterChar"/>
    <w:uiPriority w:val="99"/>
    <w:unhideWhenUsed/>
    <w:rsid w:val="00B906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6C4"/>
  </w:style>
  <w:style w:type="paragraph" w:styleId="NormalWeb">
    <w:name w:val="Normal (Web)"/>
    <w:basedOn w:val="Normal"/>
    <w:uiPriority w:val="99"/>
    <w:semiHidden/>
    <w:unhideWhenUsed/>
    <w:rsid w:val="000976A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A765C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967418">
      <w:bodyDiv w:val="1"/>
      <w:marLeft w:val="0"/>
      <w:marRight w:val="0"/>
      <w:marTop w:val="0"/>
      <w:marBottom w:val="0"/>
      <w:divBdr>
        <w:top w:val="none" w:sz="0" w:space="0" w:color="auto"/>
        <w:left w:val="none" w:sz="0" w:space="0" w:color="auto"/>
        <w:bottom w:val="none" w:sz="0" w:space="0" w:color="auto"/>
        <w:right w:val="none" w:sz="0" w:space="0" w:color="auto"/>
      </w:divBdr>
    </w:div>
    <w:div w:id="469395972">
      <w:bodyDiv w:val="1"/>
      <w:marLeft w:val="0"/>
      <w:marRight w:val="0"/>
      <w:marTop w:val="0"/>
      <w:marBottom w:val="0"/>
      <w:divBdr>
        <w:top w:val="none" w:sz="0" w:space="0" w:color="auto"/>
        <w:left w:val="none" w:sz="0" w:space="0" w:color="auto"/>
        <w:bottom w:val="none" w:sz="0" w:space="0" w:color="auto"/>
        <w:right w:val="none" w:sz="0" w:space="0" w:color="auto"/>
      </w:divBdr>
    </w:div>
    <w:div w:id="588545652">
      <w:bodyDiv w:val="1"/>
      <w:marLeft w:val="0"/>
      <w:marRight w:val="0"/>
      <w:marTop w:val="0"/>
      <w:marBottom w:val="0"/>
      <w:divBdr>
        <w:top w:val="none" w:sz="0" w:space="0" w:color="auto"/>
        <w:left w:val="none" w:sz="0" w:space="0" w:color="auto"/>
        <w:bottom w:val="none" w:sz="0" w:space="0" w:color="auto"/>
        <w:right w:val="none" w:sz="0" w:space="0" w:color="auto"/>
      </w:divBdr>
    </w:div>
    <w:div w:id="651909793">
      <w:bodyDiv w:val="1"/>
      <w:marLeft w:val="0"/>
      <w:marRight w:val="0"/>
      <w:marTop w:val="0"/>
      <w:marBottom w:val="0"/>
      <w:divBdr>
        <w:top w:val="none" w:sz="0" w:space="0" w:color="auto"/>
        <w:left w:val="none" w:sz="0" w:space="0" w:color="auto"/>
        <w:bottom w:val="none" w:sz="0" w:space="0" w:color="auto"/>
        <w:right w:val="none" w:sz="0" w:space="0" w:color="auto"/>
      </w:divBdr>
    </w:div>
    <w:div w:id="681056290">
      <w:bodyDiv w:val="1"/>
      <w:marLeft w:val="0"/>
      <w:marRight w:val="0"/>
      <w:marTop w:val="0"/>
      <w:marBottom w:val="0"/>
      <w:divBdr>
        <w:top w:val="none" w:sz="0" w:space="0" w:color="auto"/>
        <w:left w:val="none" w:sz="0" w:space="0" w:color="auto"/>
        <w:bottom w:val="none" w:sz="0" w:space="0" w:color="auto"/>
        <w:right w:val="none" w:sz="0" w:space="0" w:color="auto"/>
      </w:divBdr>
    </w:div>
    <w:div w:id="949748974">
      <w:bodyDiv w:val="1"/>
      <w:marLeft w:val="0"/>
      <w:marRight w:val="0"/>
      <w:marTop w:val="0"/>
      <w:marBottom w:val="0"/>
      <w:divBdr>
        <w:top w:val="none" w:sz="0" w:space="0" w:color="auto"/>
        <w:left w:val="none" w:sz="0" w:space="0" w:color="auto"/>
        <w:bottom w:val="none" w:sz="0" w:space="0" w:color="auto"/>
        <w:right w:val="none" w:sz="0" w:space="0" w:color="auto"/>
      </w:divBdr>
    </w:div>
    <w:div w:id="979109990">
      <w:bodyDiv w:val="1"/>
      <w:marLeft w:val="0"/>
      <w:marRight w:val="0"/>
      <w:marTop w:val="0"/>
      <w:marBottom w:val="0"/>
      <w:divBdr>
        <w:top w:val="none" w:sz="0" w:space="0" w:color="auto"/>
        <w:left w:val="none" w:sz="0" w:space="0" w:color="auto"/>
        <w:bottom w:val="none" w:sz="0" w:space="0" w:color="auto"/>
        <w:right w:val="none" w:sz="0" w:space="0" w:color="auto"/>
      </w:divBdr>
    </w:div>
    <w:div w:id="1133214556">
      <w:bodyDiv w:val="1"/>
      <w:marLeft w:val="0"/>
      <w:marRight w:val="0"/>
      <w:marTop w:val="0"/>
      <w:marBottom w:val="0"/>
      <w:divBdr>
        <w:top w:val="none" w:sz="0" w:space="0" w:color="auto"/>
        <w:left w:val="none" w:sz="0" w:space="0" w:color="auto"/>
        <w:bottom w:val="none" w:sz="0" w:space="0" w:color="auto"/>
        <w:right w:val="none" w:sz="0" w:space="0" w:color="auto"/>
      </w:divBdr>
    </w:div>
    <w:div w:id="1284189027">
      <w:bodyDiv w:val="1"/>
      <w:marLeft w:val="0"/>
      <w:marRight w:val="0"/>
      <w:marTop w:val="0"/>
      <w:marBottom w:val="0"/>
      <w:divBdr>
        <w:top w:val="none" w:sz="0" w:space="0" w:color="auto"/>
        <w:left w:val="none" w:sz="0" w:space="0" w:color="auto"/>
        <w:bottom w:val="none" w:sz="0" w:space="0" w:color="auto"/>
        <w:right w:val="none" w:sz="0" w:space="0" w:color="auto"/>
      </w:divBdr>
    </w:div>
    <w:div w:id="1405949551">
      <w:bodyDiv w:val="1"/>
      <w:marLeft w:val="0"/>
      <w:marRight w:val="0"/>
      <w:marTop w:val="0"/>
      <w:marBottom w:val="0"/>
      <w:divBdr>
        <w:top w:val="none" w:sz="0" w:space="0" w:color="auto"/>
        <w:left w:val="none" w:sz="0" w:space="0" w:color="auto"/>
        <w:bottom w:val="none" w:sz="0" w:space="0" w:color="auto"/>
        <w:right w:val="none" w:sz="0" w:space="0" w:color="auto"/>
      </w:divBdr>
    </w:div>
    <w:div w:id="1609770449">
      <w:bodyDiv w:val="1"/>
      <w:marLeft w:val="0"/>
      <w:marRight w:val="0"/>
      <w:marTop w:val="0"/>
      <w:marBottom w:val="0"/>
      <w:divBdr>
        <w:top w:val="none" w:sz="0" w:space="0" w:color="auto"/>
        <w:left w:val="none" w:sz="0" w:space="0" w:color="auto"/>
        <w:bottom w:val="none" w:sz="0" w:space="0" w:color="auto"/>
        <w:right w:val="none" w:sz="0" w:space="0" w:color="auto"/>
      </w:divBdr>
    </w:div>
    <w:div w:id="1763574598">
      <w:bodyDiv w:val="1"/>
      <w:marLeft w:val="0"/>
      <w:marRight w:val="0"/>
      <w:marTop w:val="0"/>
      <w:marBottom w:val="0"/>
      <w:divBdr>
        <w:top w:val="none" w:sz="0" w:space="0" w:color="auto"/>
        <w:left w:val="none" w:sz="0" w:space="0" w:color="auto"/>
        <w:bottom w:val="none" w:sz="0" w:space="0" w:color="auto"/>
        <w:right w:val="none" w:sz="0" w:space="0" w:color="auto"/>
      </w:divBdr>
    </w:div>
    <w:div w:id="194465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arn.financestrategists.com/explanation/depreciation-and-disposal-of-fixed-assets/reducing-balance-method/" TargetMode="External"/><Relationship Id="rId13" Type="http://schemas.openxmlformats.org/officeDocument/2006/relationships/hyperlink" Target="https://integratedreporting.org/wp-content/uploads/2013/03/IR-Background-Paper-Capitals.pdf" TargetMode="External"/><Relationship Id="rId18" Type="http://schemas.openxmlformats.org/officeDocument/2006/relationships/hyperlink" Target="https://www.iasplus.com/en/standards/ias/ias2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iasplus.com/en/standards/ias/ias36" TargetMode="External"/><Relationship Id="rId12" Type="http://schemas.openxmlformats.org/officeDocument/2006/relationships/hyperlink" Target="https://www.nibusinessinfo.co.uk/content/business-benefits-corporate-social-responsibility" TargetMode="External"/><Relationship Id="rId17" Type="http://schemas.openxmlformats.org/officeDocument/2006/relationships/hyperlink" Target="https://www.differencebetween.com/difference-between-subsidiary-and-vs-associate/"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accaglobal.com/gb/en/student/exam-support-resources/fundamentals-exams-study-resources/f3/technical-articles/group-statement.html"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matter.world/en/definition/definitions-csr-report-important-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researchgate.net/publication/327057262_What's_wrong_with_integrated_reporting_A_systematic_review" TargetMode="External"/><Relationship Id="rId23" Type="http://schemas.openxmlformats.org/officeDocument/2006/relationships/footer" Target="footer2.xml"/><Relationship Id="rId10" Type="http://schemas.openxmlformats.org/officeDocument/2006/relationships/hyperlink" Target="https://www.ifrs.org/content/dam/ifrs/project/conceptual-framework/fact-sheet-project-summary-and-feedback-statement/conceptual-framework-project-summary.pdf" TargetMode="External"/><Relationship Id="rId19" Type="http://schemas.openxmlformats.org/officeDocument/2006/relationships/hyperlink" Target="https://www.iasplus.com/en/standards/ias/ias27" TargetMode="External"/><Relationship Id="rId4" Type="http://schemas.openxmlformats.org/officeDocument/2006/relationships/webSettings" Target="webSettings.xml"/><Relationship Id="rId9" Type="http://schemas.openxmlformats.org/officeDocument/2006/relationships/hyperlink" Target="https://www.investopedia.com/terms/e/extraordinary-repairs.asp" TargetMode="External"/><Relationship Id="rId14" Type="http://schemas.openxmlformats.org/officeDocument/2006/relationships/hyperlink" Target="https://www.iasplus.com/en/resources/sustainability/iirc"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2181</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awais.imran</dc:creator>
  <cp:lastModifiedBy>awais.imran</cp:lastModifiedBy>
  <cp:revision>18</cp:revision>
  <dcterms:created xsi:type="dcterms:W3CDTF">2021-08-17T07:46:00Z</dcterms:created>
  <dcterms:modified xsi:type="dcterms:W3CDTF">2021-08-17T12:30:00Z</dcterms:modified>
</cp:coreProperties>
</file>